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rPr>
      </w:pPr>
      <w:r>
        <w:rPr>
          <w:rFonts w:eastAsia="方正小标宋_GBK"/>
          <w:sz w:val="44"/>
          <w:szCs w:val="44"/>
        </w:rPr>
        <w:t>包头</w:t>
      </w:r>
      <w:r>
        <w:rPr>
          <w:rFonts w:eastAsia="方正小标宋_GBK" w:hint="eastAsia"/>
          <w:sz w:val="44"/>
          <w:szCs w:val="44"/>
        </w:rPr>
        <w:t>海关</w:t>
      </w:r>
      <w:r>
        <w:rPr>
          <w:rFonts w:eastAsia="方正小标宋_GBK"/>
          <w:sz w:val="44"/>
          <w:szCs w:val="44"/>
        </w:rPr>
        <w:t>政务服务</w:t>
      </w:r>
      <w:r>
        <w:rPr>
          <w:rFonts w:eastAsia="方正小标宋_GBK" w:hint="eastAsia"/>
          <w:sz w:val="44"/>
          <w:szCs w:val="44"/>
        </w:rPr>
        <w:t>事项</w:t>
      </w:r>
      <w:r>
        <w:rPr>
          <w:rFonts w:eastAsia="方正小标宋_GBK"/>
          <w:sz w:val="44"/>
          <w:szCs w:val="44"/>
        </w:rPr>
        <w:t>办事</w:t>
      </w:r>
      <w:r>
        <w:rPr>
          <w:rFonts w:eastAsia="方正小标宋_GBK" w:hint="eastAsia"/>
          <w:sz w:val="44"/>
          <w:szCs w:val="44"/>
        </w:rPr>
        <w:t>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000629023001）</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保税仓库、出口监管仓库的货物管理</w:t>
      </w:r>
      <w:r>
        <w:rPr>
          <w:rFonts w:eastAsia="方正小标宋_GBK" w:hint="eastAsia"/>
          <w:sz w:val="32"/>
          <w:szCs w:val="32"/>
        </w:rPr>
        <w:t>”</w:t>
      </w:r>
      <w:r>
        <w:rPr>
          <w:rFonts w:eastAsia="方正小标宋_GBK"/>
          <w:sz w:val="32"/>
          <w:szCs w:val="32"/>
        </w:rPr>
        <w:t>政务服务事项办事指南</w:t>
      </w:r>
    </w:p>
    <w:p>
      <w:pPr>
        <w:spacing w:line="560" w:lineRule="exact"/>
        <w:ind w:firstLineChars="200" w:firstLine="640"/>
        <w:rPr>
          <w:rFonts w:eastAsia="方正小标宋_GBK"/>
          <w:sz w:val="32"/>
          <w:szCs w:val="32"/>
        </w:rPr>
      </w:pPr>
    </w:p>
    <w:p>
      <w:pPr>
        <w:spacing w:line="560" w:lineRule="exact"/>
        <w:ind w:firstLineChars="200" w:firstLine="640"/>
        <w:rPr>
          <w:rFonts w:eastAsia="方正仿宋_GBK"/>
          <w:bCs/>
          <w:sz w:val="32"/>
          <w:szCs w:val="32"/>
        </w:rPr>
      </w:pPr>
      <w:r>
        <w:rPr>
          <w:rFonts w:eastAsia="方正黑体_GBK" w:hint="eastAsia"/>
          <w:sz w:val="32"/>
          <w:szCs w:val="32"/>
        </w:rPr>
        <w:t>一、事项名称：</w:t>
      </w:r>
      <w:r>
        <w:rPr>
          <w:rFonts w:eastAsia="方正仿宋_GBK"/>
          <w:bCs/>
          <w:sz w:val="32"/>
          <w:szCs w:val="32"/>
        </w:rPr>
        <w:t>保税仓库、出口监管仓库的货物管理（核查）</w:t>
      </w:r>
    </w:p>
    <w:p>
      <w:pPr>
        <w:spacing w:line="560" w:lineRule="exact"/>
        <w:ind w:firstLineChars="200" w:firstLine="640"/>
        <w:rPr>
          <w:rFonts w:eastAsia="方正仿宋_GBK"/>
          <w:bCs/>
          <w:sz w:val="32"/>
          <w:szCs w:val="32"/>
        </w:rPr>
      </w:pPr>
      <w:r>
        <w:rPr>
          <w:rFonts w:eastAsia="方正黑体_GBK" w:hint="eastAsia"/>
          <w:bCs/>
          <w:sz w:val="32"/>
          <w:szCs w:val="32"/>
        </w:rPr>
        <w:t>二、事项类型：</w:t>
      </w:r>
      <w:r>
        <w:rPr>
          <w:rFonts w:eastAsia="方正仿宋_GBK"/>
          <w:bCs/>
          <w:sz w:val="32"/>
          <w:szCs w:val="32"/>
        </w:rPr>
        <w:t>行政检查</w:t>
      </w:r>
    </w:p>
    <w:p>
      <w:pPr>
        <w:widowControl/>
        <w:spacing w:line="560" w:lineRule="exact"/>
        <w:ind w:firstLineChars="200" w:firstLine="640"/>
        <w:rPr>
          <w:rFonts w:eastAsia="方正黑体_GBK"/>
          <w:bCs/>
          <w:sz w:val="32"/>
          <w:szCs w:val="32"/>
        </w:rPr>
      </w:pPr>
      <w:r>
        <w:rPr>
          <w:rFonts w:eastAsia="方正黑体_GBK" w:hint="eastAsia"/>
          <w:bCs/>
          <w:sz w:val="32"/>
          <w:szCs w:val="32"/>
        </w:rPr>
        <w:t>三、设定依据：</w:t>
      </w:r>
    </w:p>
    <w:p>
      <w:pPr>
        <w:widowControl/>
        <w:spacing w:line="560" w:lineRule="exact"/>
        <w:ind w:firstLineChars="200" w:firstLine="640"/>
        <w:rPr>
          <w:rFonts w:eastAsia="方正仿宋_GBK"/>
          <w:bCs/>
          <w:sz w:val="32"/>
          <w:szCs w:val="32"/>
        </w:rPr>
      </w:pPr>
      <w:r>
        <w:rPr>
          <w:rFonts w:eastAsia="方正仿宋_GBK" w:hint="eastAsia"/>
          <w:bCs/>
          <w:sz w:val="32"/>
          <w:szCs w:val="32"/>
        </w:rPr>
        <w:t>（一）《中华人民共和国海关法》</w:t>
      </w:r>
    </w:p>
    <w:p>
      <w:pPr>
        <w:widowControl/>
        <w:spacing w:line="560" w:lineRule="exact"/>
        <w:ind w:firstLineChars="200" w:firstLine="640"/>
        <w:rPr>
          <w:rFonts w:eastAsia="方正仿宋_GBK"/>
          <w:bCs/>
          <w:sz w:val="32"/>
          <w:szCs w:val="32"/>
        </w:rPr>
      </w:pPr>
      <w:r>
        <w:rPr>
          <w:rFonts w:eastAsia="方正仿宋_GBK" w:hint="eastAsia"/>
          <w:bCs/>
          <w:sz w:val="32"/>
          <w:szCs w:val="32"/>
        </w:rPr>
        <w:t>第</w:t>
      </w:r>
      <w:r>
        <w:rPr>
          <w:rFonts w:eastAsia="方正仿宋_GBK"/>
          <w:bCs/>
          <w:sz w:val="32"/>
          <w:szCs w:val="32"/>
        </w:rPr>
        <w:t>三十二</w:t>
      </w:r>
      <w:r>
        <w:rPr>
          <w:rFonts w:eastAsia="方正仿宋_GBK" w:hint="eastAsia"/>
          <w:bCs/>
          <w:sz w:val="32"/>
          <w:szCs w:val="32"/>
        </w:rPr>
        <w:t xml:space="preserve">条  </w:t>
      </w:r>
      <w:r>
        <w:rPr>
          <w:rFonts w:eastAsia="方正仿宋_GBK"/>
          <w:bCs/>
          <w:sz w:val="32"/>
          <w:szCs w:val="32"/>
        </w:rPr>
        <w:t>经营保税货物的储存、加工、装配、展示、运输、寄售业务和经营免税商店，应当符合海关监管要求，经海关批准，并办理注册手续。保税货物的转让、转移以及进出保税场所，应当向海关办理有关手续，接受海关监管和查验。</w:t>
      </w:r>
    </w:p>
    <w:p>
      <w:pPr>
        <w:widowControl/>
        <w:spacing w:line="560" w:lineRule="exact"/>
        <w:ind w:firstLineChars="200" w:firstLine="640"/>
        <w:rPr>
          <w:rFonts w:eastAsia="方正仿宋_GBK"/>
          <w:bCs/>
          <w:sz w:val="32"/>
          <w:szCs w:val="32"/>
        </w:rPr>
      </w:pPr>
      <w:r>
        <w:rPr>
          <w:rFonts w:eastAsia="方正仿宋_GBK" w:hint="eastAsia"/>
          <w:bCs/>
          <w:sz w:val="32"/>
          <w:szCs w:val="32"/>
        </w:rPr>
        <w:t>（二）《</w:t>
      </w:r>
      <w:r>
        <w:rPr>
          <w:rFonts w:eastAsia="方正仿宋_GBK"/>
          <w:bCs/>
          <w:sz w:val="32"/>
          <w:szCs w:val="32"/>
        </w:rPr>
        <w:t>中华人民共和国海关对出口监管仓库及所存货物的管理办法</w:t>
      </w:r>
      <w:r>
        <w:rPr>
          <w:rFonts w:eastAsia="方正仿宋_GBK" w:hint="eastAsia"/>
          <w:bCs/>
          <w:sz w:val="32"/>
          <w:szCs w:val="32"/>
        </w:rPr>
        <w:t>》</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第二十一条　出口监管仓库所存货物存储期限为6个月。经主管海关同意可以延期，但延期不得超过6个月。</w:t>
      </w:r>
    </w:p>
    <w:p>
      <w:pPr>
        <w:widowControl/>
        <w:spacing w:line="560" w:lineRule="exact"/>
        <w:ind w:firstLineChars="200" w:firstLine="640"/>
        <w:rPr>
          <w:rFonts w:eastAsia="方正仿宋_GBK"/>
          <w:bCs/>
          <w:sz w:val="32"/>
          <w:szCs w:val="32"/>
        </w:rPr>
      </w:pPr>
      <w:r>
        <w:rPr>
          <w:rFonts w:eastAsia="方正仿宋_GBK" w:hint="eastAsia"/>
          <w:bCs/>
          <w:sz w:val="32"/>
          <w:szCs w:val="32"/>
        </w:rPr>
        <w:t>货物存储期满前，仓库经营企业应当通知发货人或者其代理人办理货物的出境或者进口手续。</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第二十二条　存入出口监管仓库的货物不得进行实质性加工。</w:t>
      </w:r>
    </w:p>
    <w:p>
      <w:pPr>
        <w:widowControl/>
        <w:spacing w:line="560" w:lineRule="exact"/>
        <w:ind w:firstLineChars="200" w:firstLine="640"/>
        <w:rPr>
          <w:rFonts w:eastAsia="方正仿宋_GBK"/>
          <w:bCs/>
          <w:sz w:val="32"/>
          <w:szCs w:val="32"/>
        </w:rPr>
      </w:pPr>
      <w:r>
        <w:rPr>
          <w:rFonts w:eastAsia="方正仿宋_GBK" w:hint="eastAsia"/>
          <w:bCs/>
          <w:sz w:val="32"/>
          <w:szCs w:val="32"/>
        </w:rPr>
        <w:t>经主管海关同意，可以在仓库内进行品质检验、分级分类、分拣分装、加刷唛码、刷贴标志、打膜、改换包装等流通性增值服务。</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第二十三条　对经批准享受入仓即予退税政策的出口监管仓库，海关在货物入仓结关后予以办理出口货物退税证明手续。</w:t>
      </w:r>
    </w:p>
    <w:p>
      <w:pPr>
        <w:widowControl/>
        <w:spacing w:line="560" w:lineRule="exact"/>
        <w:ind w:firstLineChars="200" w:firstLine="640"/>
        <w:rPr>
          <w:rFonts w:eastAsia="方正仿宋_GBK"/>
          <w:bCs/>
          <w:sz w:val="32"/>
          <w:szCs w:val="32"/>
        </w:rPr>
      </w:pPr>
      <w:r>
        <w:rPr>
          <w:rFonts w:eastAsia="方正仿宋_GBK" w:hint="eastAsia"/>
          <w:bCs/>
          <w:sz w:val="32"/>
          <w:szCs w:val="32"/>
        </w:rPr>
        <w:t>对不享受入仓即予退税政策的出口监管仓库，海关在货物实际离境后办理出口货物退税证明手续。</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第二十四条　出口监管仓库与海关特殊监管区域、其他保税监管场所之间的货物流转应当符合海关监管要求并按照规定办理相关手续。</w:t>
      </w:r>
    </w:p>
    <w:p>
      <w:pPr>
        <w:widowControl/>
        <w:spacing w:line="560" w:lineRule="exact"/>
        <w:ind w:firstLineChars="200" w:firstLine="640"/>
        <w:rPr>
          <w:rFonts w:eastAsia="方正仿宋_GBK"/>
          <w:bCs/>
          <w:sz w:val="32"/>
          <w:szCs w:val="32"/>
        </w:rPr>
      </w:pPr>
      <w:r>
        <w:rPr>
          <w:rFonts w:eastAsia="方正仿宋_GBK" w:hint="eastAsia"/>
          <w:bCs/>
          <w:sz w:val="32"/>
          <w:szCs w:val="32"/>
        </w:rPr>
        <w:t>货物流转涉及出口退税的，按照国家有关规定办理。</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第二十五条　存入出口监管仓库的出口货物，按照国家规定应当提交许可证件或者缴纳出口关税的，发货人或者其代理人应当提交许可证件或者缴纳税款。</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第二十六条　出口货物存入出口监管仓库时，发货人或者其代理人应当按照规定办理海关手续。发货人或者其代理人除按照海关规定提交有关单证外，还应当提交仓库经营企业填制的《出口监管仓库货物入仓清单》。</w:t>
      </w:r>
    </w:p>
    <w:p>
      <w:pPr>
        <w:widowControl/>
        <w:spacing w:line="560" w:lineRule="exact"/>
        <w:ind w:firstLineChars="200" w:firstLine="640"/>
        <w:rPr>
          <w:rFonts w:eastAsia="方正仿宋_GBK"/>
          <w:bCs/>
          <w:sz w:val="32"/>
          <w:szCs w:val="32"/>
        </w:rPr>
      </w:pPr>
      <w:r>
        <w:rPr>
          <w:rFonts w:eastAsia="方正仿宋_GBK" w:hint="eastAsia"/>
          <w:bCs/>
          <w:sz w:val="32"/>
          <w:szCs w:val="32"/>
        </w:rPr>
        <w:t>海关对报关入仓货物的品种、数量、金额等进行审核、核注和登记。</w:t>
      </w:r>
    </w:p>
    <w:p>
      <w:pPr>
        <w:widowControl/>
        <w:spacing w:line="560" w:lineRule="exact"/>
        <w:ind w:firstLineChars="200" w:firstLine="640"/>
        <w:rPr>
          <w:rFonts w:eastAsia="方正仿宋_GBK"/>
          <w:bCs/>
          <w:sz w:val="32"/>
          <w:szCs w:val="32"/>
        </w:rPr>
      </w:pPr>
      <w:r>
        <w:rPr>
          <w:rFonts w:eastAsia="方正仿宋_GBK" w:hint="eastAsia"/>
          <w:bCs/>
          <w:sz w:val="32"/>
          <w:szCs w:val="32"/>
        </w:rPr>
        <w:t>经主管海关批准，对批量少、批次频繁的入仓货物，可以办理集中报关手续。</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第二十七条　出仓货物出口时，仓库经营企业或者其代理人应当按照规定办理海关手续。仓库经营企业或者其代理人除按照海关规定提交有关单证外，还应当提交仓库经营企业填制的《出口监管仓库货物出仓清单》。</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第二十八条　出口监管仓库货物转进口的，应当经海关批准，按照进口货物有关规定办理相关手续。</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第二十九条　对已存入出口监管仓库因质量等原因要求更换的货物，经仓库所在地主管海关批准，可以更换货物。被更换货物出仓前，更换货物应当先行入仓，并应当与原货物的商品编码、品名、规格型号、数量和价值相同。</w:t>
      </w:r>
    </w:p>
    <w:p>
      <w:pPr>
        <w:widowControl/>
        <w:spacing w:line="560" w:lineRule="exact"/>
        <w:ind w:firstLineChars="200" w:firstLine="640"/>
        <w:rPr>
          <w:rFonts w:eastAsia="方正仿宋_GBK"/>
          <w:bCs/>
          <w:sz w:val="32"/>
          <w:szCs w:val="32"/>
        </w:rPr>
      </w:pPr>
      <w:r>
        <w:rPr>
          <w:rFonts w:eastAsia="方正仿宋_GBK" w:hint="eastAsia"/>
          <w:bCs/>
          <w:sz w:val="32"/>
          <w:szCs w:val="32"/>
        </w:rPr>
        <w:t>第三十条　出口监管仓库货物，因特殊原因确需退运、退仓，应当经海关批准，并按照有关规定办理相关手续。</w:t>
      </w:r>
    </w:p>
    <w:p>
      <w:pPr>
        <w:widowControl/>
        <w:spacing w:line="560" w:lineRule="exact"/>
        <w:ind w:firstLineChars="200" w:firstLine="640"/>
        <w:rPr>
          <w:rFonts w:eastAsia="方正仿宋_GBK"/>
          <w:bCs/>
          <w:sz w:val="32"/>
          <w:szCs w:val="32"/>
        </w:rPr>
      </w:pPr>
      <w:r>
        <w:rPr>
          <w:rFonts w:eastAsia="方正仿宋_GBK" w:hint="eastAsia"/>
          <w:bCs/>
          <w:sz w:val="32"/>
          <w:szCs w:val="32"/>
        </w:rPr>
        <w:t>（三）《</w:t>
      </w:r>
      <w:r>
        <w:rPr>
          <w:rFonts w:eastAsia="方正仿宋_GBK"/>
          <w:bCs/>
          <w:sz w:val="32"/>
          <w:szCs w:val="32"/>
        </w:rPr>
        <w:t>中华人民共和国海关对保税仓库及所存货物的管理规定</w:t>
      </w:r>
      <w:r>
        <w:rPr>
          <w:rFonts w:eastAsia="方正仿宋_GBK" w:hint="eastAsia"/>
          <w:bCs/>
          <w:sz w:val="32"/>
          <w:szCs w:val="32"/>
        </w:rPr>
        <w:t>》</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第十九条  保税仓储货物入库时，收发货人或其代理人凭有关单证向海关办理货物报关入库手续，海关对报关入库货物的品种、数量、金额进行审核，并对入库货物进行核注登记。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第二十条  保税仓储货物可以进行包装、分级分类、加刷唛码、分拆、拼装等简单加工，不得进行实质性加工。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保税仓储货物，未经海关批准，不得擅自出售、转让、抵押、质押、留置、移作他用或者进行其他处置。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第二十一条  下列保税仓储货物出库时依法免征关税和进口环节代征税： </w:t>
      </w:r>
    </w:p>
    <w:p>
      <w:pPr>
        <w:widowControl/>
        <w:spacing w:line="560" w:lineRule="exact"/>
        <w:ind w:firstLineChars="200" w:firstLine="640"/>
        <w:rPr>
          <w:rFonts w:eastAsia="方正仿宋_GBK"/>
          <w:bCs/>
          <w:sz w:val="32"/>
          <w:szCs w:val="32"/>
        </w:rPr>
      </w:pPr>
      <w:r>
        <w:rPr>
          <w:rFonts w:eastAsia="方正仿宋_GBK"/>
          <w:bCs/>
          <w:sz w:val="32"/>
          <w:szCs w:val="32"/>
        </w:rPr>
        <w:t>1.</w:t>
      </w:r>
      <w:r>
        <w:rPr>
          <w:rFonts w:eastAsia="方正仿宋_GBK" w:hint="eastAsia"/>
          <w:bCs/>
          <w:sz w:val="32"/>
          <w:szCs w:val="32"/>
        </w:rPr>
        <w:t xml:space="preserve">用于在保修期限内免费维修有关外国产品并符合无代价抵偿货物有关规定的零部件；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2.用于国际航行船舶和航空器的油料、物料；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3.国家规定免税的其他货物。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第二十二条  保税仓储货物存储期限为1年。确有正当理由的，经海关同意可予以延期；除特殊情况外，延期不得超过1年。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第二十三条  下列情形的保税仓储货物，经海关批准可以办理出库手续，海关按照相应的规定进行管理和验放： </w:t>
      </w:r>
    </w:p>
    <w:p>
      <w:pPr>
        <w:widowControl/>
        <w:spacing w:line="560" w:lineRule="exact"/>
        <w:ind w:firstLineChars="200" w:firstLine="640"/>
        <w:outlineLvl w:val="0"/>
        <w:rPr>
          <w:rFonts w:eastAsia="方正仿宋_GBK"/>
          <w:bCs/>
          <w:sz w:val="32"/>
          <w:szCs w:val="32"/>
        </w:rPr>
      </w:pPr>
      <w:r>
        <w:rPr>
          <w:rFonts w:eastAsia="方正仿宋_GBK" w:hint="eastAsia"/>
          <w:bCs/>
          <w:sz w:val="32"/>
          <w:szCs w:val="32"/>
        </w:rPr>
        <w:t>1</w:t>
      </w:r>
      <w:r>
        <w:rPr>
          <w:rFonts w:eastAsia="方正仿宋_GBK"/>
          <w:bCs/>
          <w:sz w:val="32"/>
          <w:szCs w:val="32"/>
        </w:rPr>
        <w:t>.</w:t>
      </w:r>
      <w:r>
        <w:rPr>
          <w:rFonts w:eastAsia="方正仿宋_GBK" w:hint="eastAsia"/>
          <w:bCs/>
          <w:sz w:val="32"/>
          <w:szCs w:val="32"/>
        </w:rPr>
        <w:t xml:space="preserve">运往境外的； </w:t>
      </w:r>
    </w:p>
    <w:p>
      <w:pPr>
        <w:widowControl/>
        <w:spacing w:line="560" w:lineRule="exact"/>
        <w:ind w:firstLineChars="200" w:firstLine="640"/>
        <w:rPr>
          <w:rFonts w:eastAsia="方正仿宋_GBK"/>
          <w:bCs/>
          <w:sz w:val="32"/>
          <w:szCs w:val="32"/>
        </w:rPr>
      </w:pPr>
      <w:r>
        <w:rPr>
          <w:rFonts w:eastAsia="方正仿宋_GBK"/>
          <w:bCs/>
          <w:sz w:val="32"/>
          <w:szCs w:val="32"/>
        </w:rPr>
        <w:t>2.</w:t>
      </w:r>
      <w:r>
        <w:rPr>
          <w:rFonts w:eastAsia="方正仿宋_GBK" w:hint="eastAsia"/>
          <w:bCs/>
          <w:sz w:val="32"/>
          <w:szCs w:val="32"/>
        </w:rPr>
        <w:t xml:space="preserve">运往境内保税区、出口加工区或者调拨到其他保税仓库继续实施保税监管的；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3.转为加工贸易进口的；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4.转入国内市场销售的；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5.海关规定的其他情形。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第二十四条  保税仓储货物出库运往境内其他地方的，收发货人或其代理人应当填写进口报关单，并随附出库单据等相关单证向海关申报，保税仓库向海关办理出库手续并凭海关签印放行的报关单发运货物。 </w:t>
      </w:r>
    </w:p>
    <w:p>
      <w:pPr>
        <w:widowControl/>
        <w:spacing w:line="560" w:lineRule="exact"/>
        <w:ind w:firstLineChars="200" w:firstLine="640"/>
        <w:rPr>
          <w:rFonts w:eastAsia="方正仿宋_GBK"/>
          <w:bCs/>
          <w:sz w:val="32"/>
          <w:szCs w:val="32"/>
        </w:rPr>
      </w:pPr>
      <w:r>
        <w:rPr>
          <w:rFonts w:eastAsia="方正仿宋_GBK" w:hint="eastAsia"/>
          <w:bCs/>
          <w:sz w:val="32"/>
          <w:szCs w:val="32"/>
        </w:rPr>
        <w:t xml:space="preserve">出库保税仓储货物批量少、批次频繁的，经海关批准可以办理集中报关手续。 </w:t>
      </w:r>
    </w:p>
    <w:p>
      <w:pPr>
        <w:widowControl/>
        <w:spacing w:line="560" w:lineRule="exact"/>
        <w:ind w:firstLineChars="200" w:firstLine="640"/>
        <w:rPr>
          <w:rFonts w:eastAsia="方正仿宋_GBK"/>
          <w:bCs/>
          <w:sz w:val="32"/>
          <w:szCs w:val="32"/>
        </w:rPr>
      </w:pPr>
      <w:r>
        <w:rPr>
          <w:rFonts w:eastAsia="方正仿宋_GBK" w:hint="eastAsia"/>
          <w:bCs/>
          <w:sz w:val="32"/>
          <w:szCs w:val="32"/>
        </w:rPr>
        <w:t>第二十五条  保税仓储货物出库复运往境外的，发货人或其代理人应当填写出口报关单，并随附出库单据等相关单证向海关申报，保税仓库向海关办理出库手续并凭海关签印放行的报关单发运货物。</w:t>
      </w:r>
    </w:p>
    <w:p>
      <w:pPr>
        <w:spacing w:line="560" w:lineRule="exact"/>
        <w:ind w:firstLineChars="200" w:firstLine="640"/>
        <w:rPr>
          <w:rFonts w:eastAsia="方正仿宋_GBK"/>
          <w:bCs/>
          <w:sz w:val="32"/>
          <w:szCs w:val="32"/>
        </w:rPr>
      </w:pPr>
      <w:r>
        <w:rPr>
          <w:rFonts w:eastAsia="方正黑体_GBK" w:hint="eastAsia"/>
          <w:bCs/>
          <w:sz w:val="32"/>
          <w:szCs w:val="32"/>
        </w:rPr>
        <w:t>四、实施机构：</w:t>
      </w:r>
      <w:r>
        <w:rPr>
          <w:rFonts w:eastAsia="方正仿宋_GBK"/>
          <w:bCs/>
          <w:sz w:val="32"/>
          <w:szCs w:val="32"/>
        </w:rPr>
        <w:t>包头海关监管一科、包头海关监管三科。</w:t>
      </w:r>
    </w:p>
    <w:p>
      <w:pPr>
        <w:spacing w:line="560" w:lineRule="exact"/>
        <w:ind w:firstLineChars="200" w:firstLine="640"/>
        <w:rPr>
          <w:rFonts w:eastAsia="方正黑体_GBK"/>
          <w:bCs/>
          <w:sz w:val="32"/>
          <w:szCs w:val="32"/>
        </w:rPr>
      </w:pPr>
      <w:r>
        <w:rPr>
          <w:rFonts w:eastAsia="方正黑体_GBK" w:hint="eastAsia"/>
          <w:bCs/>
          <w:sz w:val="32"/>
          <w:szCs w:val="32"/>
        </w:rPr>
        <w:t>五、法定办结时限：</w:t>
      </w:r>
      <w:r>
        <w:rPr>
          <w:rFonts w:eastAsia="方正仿宋_GBK"/>
          <w:sz w:val="32"/>
          <w:szCs w:val="32"/>
        </w:rPr>
        <w:t>无</w:t>
      </w:r>
      <w:r>
        <w:rPr>
          <w:rFonts w:eastAsia="方正仿宋_GBK" w:hint="eastAsia"/>
          <w:sz w:val="32"/>
          <w:szCs w:val="32"/>
        </w:rPr>
        <w:t>。</w:t>
      </w:r>
    </w:p>
    <w:p>
      <w:pPr>
        <w:spacing w:line="560" w:lineRule="exact"/>
        <w:ind w:firstLineChars="200" w:firstLine="640"/>
        <w:rPr>
          <w:rFonts w:eastAsia="方正仿宋_GBK" w:cs="宋体"/>
          <w:bCs/>
          <w:kern w:val="0"/>
          <w:sz w:val="32"/>
          <w:szCs w:val="32"/>
        </w:rPr>
      </w:pPr>
      <w:r>
        <w:rPr>
          <w:rFonts w:eastAsia="方正黑体_GBK" w:hint="eastAsia"/>
          <w:bCs/>
          <w:sz w:val="32"/>
          <w:szCs w:val="32"/>
        </w:rPr>
        <w:t>六、承诺办结时限：</w:t>
      </w:r>
      <w:r>
        <w:rPr>
          <w:rFonts w:eastAsia="方正仿宋_GBK"/>
          <w:bCs/>
          <w:sz w:val="32"/>
          <w:szCs w:val="32"/>
        </w:rPr>
        <w:t>无。</w:t>
      </w:r>
    </w:p>
    <w:p>
      <w:pPr>
        <w:spacing w:line="560" w:lineRule="exact"/>
        <w:ind w:firstLineChars="200" w:firstLine="640"/>
        <w:rPr>
          <w:rFonts w:eastAsia="方正黑体_GBK"/>
          <w:bCs/>
          <w:sz w:val="32"/>
          <w:szCs w:val="32"/>
        </w:rPr>
      </w:pPr>
      <w:r>
        <w:rPr>
          <w:rFonts w:eastAsia="方正黑体_GBK" w:hint="eastAsia"/>
          <w:bCs/>
          <w:sz w:val="32"/>
          <w:szCs w:val="32"/>
        </w:rPr>
        <w:t>七、结果名称：</w:t>
      </w:r>
      <w:r>
        <w:rPr>
          <w:rFonts w:ascii="方正仿宋_GBK" w:eastAsia="方正仿宋_GBK" w:hint="eastAsia"/>
          <w:sz w:val="32"/>
          <w:szCs w:val="32"/>
        </w:rPr>
        <w:t>《核查工作记录》。</w:t>
      </w:r>
    </w:p>
    <w:p>
      <w:pPr>
        <w:spacing w:line="560" w:lineRule="exact"/>
        <w:ind w:firstLineChars="200" w:firstLine="640"/>
      </w:pPr>
      <w:r>
        <w:rPr>
          <w:rFonts w:eastAsia="方正黑体_GBK" w:hint="eastAsia"/>
          <w:bCs/>
          <w:sz w:val="32"/>
          <w:szCs w:val="32"/>
        </w:rPr>
        <w:t>八、结果样本：</w:t>
      </w:r>
      <w:r>
        <w:rPr>
          <w:rFonts w:eastAsia="方正仿宋_GBK"/>
          <w:sz w:val="32"/>
          <w:szCs w:val="32"/>
        </w:rPr>
        <w:t>《核查工作记录》</w:t>
      </w:r>
      <w:r>
        <w:rPr>
          <w:rFonts w:eastAsia="方正仿宋_GBK" w:hint="eastAsia"/>
          <w:sz w:val="32"/>
          <w:szCs w:val="32"/>
        </w:rPr>
        <w:t>（见</w:t>
      </w:r>
      <w:r>
        <w:rPr>
          <w:rFonts w:eastAsia="方正仿宋_GBK"/>
          <w:sz w:val="32"/>
          <w:szCs w:val="32"/>
        </w:rPr>
        <w:t>附件）</w:t>
      </w:r>
      <w:r>
        <w:rPr>
          <w:rFonts w:eastAsia="方正仿宋_GBK"/>
          <w:bCs/>
          <w:sz w:val="32"/>
          <w:szCs w:val="32"/>
        </w:rPr>
        <w:t>。</w:t>
      </w:r>
    </w:p>
    <w:p>
      <w:pPr>
        <w:spacing w:line="560" w:lineRule="exact"/>
        <w:ind w:firstLineChars="200" w:firstLine="640"/>
        <w:rPr>
          <w:rFonts w:eastAsia="方正仿宋_GBK"/>
          <w:bCs/>
          <w:sz w:val="32"/>
          <w:szCs w:val="32"/>
        </w:rPr>
      </w:pPr>
      <w:r>
        <w:rPr>
          <w:rFonts w:eastAsia="方正黑体_GBK" w:hint="eastAsia"/>
          <w:bCs/>
          <w:sz w:val="32"/>
          <w:szCs w:val="32"/>
        </w:rPr>
        <w:t>九、收费标准：</w:t>
      </w:r>
      <w:r>
        <w:rPr>
          <w:rFonts w:eastAsia="方正仿宋_GBK" w:hint="eastAsia"/>
          <w:bCs/>
          <w:sz w:val="32"/>
          <w:szCs w:val="32"/>
        </w:rPr>
        <w:t>不收费</w:t>
      </w:r>
      <w:r>
        <w:rPr>
          <w:rFonts w:eastAsia="方正仿宋_GBK"/>
          <w:bCs/>
          <w:sz w:val="32"/>
          <w:szCs w:val="32"/>
        </w:rPr>
        <w:t>。</w:t>
      </w:r>
    </w:p>
    <w:p>
      <w:pPr>
        <w:spacing w:line="560" w:lineRule="exact"/>
        <w:ind w:firstLineChars="200" w:firstLine="640"/>
        <w:rPr>
          <w:rFonts w:eastAsia="方正仿宋_GBK"/>
          <w:bCs/>
          <w:sz w:val="32"/>
          <w:szCs w:val="32"/>
        </w:rPr>
      </w:pPr>
      <w:r>
        <w:rPr>
          <w:rFonts w:eastAsia="方正黑体_GBK" w:hint="eastAsia"/>
          <w:bCs/>
          <w:sz w:val="32"/>
          <w:szCs w:val="32"/>
        </w:rPr>
        <w:t>十、收费依据：</w:t>
      </w:r>
      <w:r>
        <w:rPr>
          <w:rFonts w:eastAsia="方正仿宋_GBK" w:hint="eastAsia"/>
          <w:bCs/>
          <w:sz w:val="32"/>
          <w:szCs w:val="32"/>
        </w:rPr>
        <w:t>无。</w:t>
      </w:r>
    </w:p>
    <w:p>
      <w:pPr>
        <w:spacing w:line="560" w:lineRule="exact"/>
        <w:ind w:firstLineChars="200" w:firstLine="640"/>
        <w:rPr>
          <w:rFonts w:eastAsia="方正仿宋_GBK"/>
          <w:sz w:val="32"/>
          <w:szCs w:val="32"/>
        </w:rPr>
      </w:pPr>
      <w:r>
        <w:rPr>
          <w:rFonts w:eastAsia="方正黑体_GBK" w:hint="eastAsia"/>
          <w:bCs/>
          <w:sz w:val="32"/>
          <w:szCs w:val="32"/>
        </w:rPr>
        <w:t>十</w:t>
      </w:r>
      <w:r>
        <w:rPr>
          <w:rFonts w:eastAsia="方正黑体_GBK"/>
          <w:bCs/>
          <w:sz w:val="32"/>
          <w:szCs w:val="32"/>
        </w:rPr>
        <w:t>一</w:t>
      </w:r>
      <w:r>
        <w:rPr>
          <w:rFonts w:eastAsia="方正黑体_GBK" w:hint="eastAsia"/>
          <w:bCs/>
          <w:sz w:val="32"/>
          <w:szCs w:val="32"/>
        </w:rPr>
        <w:t>、申请条件：</w:t>
      </w:r>
      <w:r>
        <w:rPr>
          <w:rFonts w:eastAsia="方正仿宋_GBK" w:hint="eastAsia"/>
          <w:sz w:val="32"/>
          <w:szCs w:val="32"/>
        </w:rPr>
        <w:t>符合设定依据中列明的政策文件所述，无附加要求。</w:t>
      </w:r>
    </w:p>
    <w:p>
      <w:pPr>
        <w:spacing w:line="560" w:lineRule="exact"/>
        <w:ind w:firstLineChars="200" w:firstLine="640"/>
        <w:rPr>
          <w:rFonts w:eastAsia="方正黑体_GBK"/>
          <w:bCs/>
          <w:sz w:val="32"/>
          <w:szCs w:val="32"/>
        </w:rPr>
      </w:pPr>
      <w:r>
        <w:rPr>
          <w:rFonts w:eastAsia="方正黑体_GBK" w:hint="eastAsia"/>
          <w:bCs/>
          <w:sz w:val="32"/>
          <w:szCs w:val="32"/>
        </w:rPr>
        <w:t>十</w:t>
      </w:r>
      <w:r>
        <w:rPr>
          <w:rFonts w:eastAsia="方正黑体_GBK"/>
          <w:bCs/>
          <w:sz w:val="32"/>
          <w:szCs w:val="32"/>
        </w:rPr>
        <w:t>二</w:t>
      </w:r>
      <w:r>
        <w:rPr>
          <w:rFonts w:eastAsia="方正黑体_GBK" w:hint="eastAsia"/>
          <w:bCs/>
          <w:sz w:val="32"/>
          <w:szCs w:val="32"/>
        </w:rPr>
        <w:t>、申请材料：</w:t>
      </w:r>
      <w:r>
        <w:rPr>
          <w:rFonts w:eastAsia="方正仿宋_GBK"/>
          <w:bCs/>
          <w:sz w:val="32"/>
          <w:szCs w:val="32"/>
        </w:rPr>
        <w:t>无。</w:t>
      </w:r>
    </w:p>
    <w:p>
      <w:pPr>
        <w:spacing w:line="560" w:lineRule="exact"/>
        <w:ind w:firstLineChars="200" w:firstLine="640"/>
        <w:rPr>
          <w:rFonts w:eastAsia="方正仿宋_GBK"/>
          <w:bCs/>
          <w:color w:val="FF0000"/>
          <w:sz w:val="32"/>
          <w:szCs w:val="32"/>
        </w:rPr>
      </w:pPr>
      <w:r>
        <w:rPr>
          <w:rFonts w:eastAsia="方正黑体_GBK" w:hint="eastAsia"/>
          <w:bCs/>
          <w:sz w:val="32"/>
          <w:szCs w:val="32"/>
        </w:rPr>
        <w:t>十</w:t>
      </w:r>
      <w:r>
        <w:rPr>
          <w:rFonts w:eastAsia="方正黑体_GBK"/>
          <w:bCs/>
          <w:sz w:val="32"/>
          <w:szCs w:val="32"/>
        </w:rPr>
        <w:t>三</w:t>
      </w:r>
      <w:r>
        <w:rPr>
          <w:rFonts w:eastAsia="方正黑体_GBK" w:hint="eastAsia"/>
          <w:bCs/>
          <w:sz w:val="32"/>
          <w:szCs w:val="32"/>
        </w:rPr>
        <w:t>、办理流程：</w:t>
      </w:r>
    </w:p>
    <w:p>
      <w:pPr>
        <w:spacing w:line="560" w:lineRule="exact"/>
        <w:ind w:firstLineChars="200" w:firstLine="640"/>
        <w:rPr>
          <w:rFonts w:eastAsia="方正仿宋_GBK"/>
          <w:sz w:val="32"/>
          <w:szCs w:val="32"/>
        </w:rPr>
      </w:pPr>
      <w:r>
        <w:rPr>
          <w:rFonts w:eastAsia="方正仿宋_GBK"/>
          <w:sz w:val="32"/>
          <w:szCs w:val="32"/>
        </w:rPr>
        <w:t>（一）通知核查</w:t>
      </w:r>
    </w:p>
    <w:p>
      <w:pPr>
        <w:spacing w:line="560" w:lineRule="exact"/>
        <w:ind w:firstLineChars="200" w:firstLine="640"/>
        <w:rPr>
          <w:rFonts w:eastAsia="方正仿宋_GBK"/>
          <w:sz w:val="32"/>
          <w:szCs w:val="32"/>
        </w:rPr>
      </w:pPr>
      <w:r>
        <w:rPr>
          <w:rFonts w:eastAsia="方正仿宋_GBK"/>
          <w:sz w:val="32"/>
          <w:szCs w:val="32"/>
        </w:rPr>
        <w:t>海关通知企业开展核查。</w:t>
      </w:r>
    </w:p>
    <w:p>
      <w:pPr>
        <w:spacing w:line="560" w:lineRule="exact"/>
        <w:ind w:firstLineChars="200" w:firstLine="640"/>
        <w:rPr>
          <w:rFonts w:eastAsia="方正仿宋_GBK"/>
          <w:sz w:val="32"/>
          <w:szCs w:val="32"/>
        </w:rPr>
      </w:pPr>
      <w:r>
        <w:rPr>
          <w:rFonts w:eastAsia="方正仿宋_GBK"/>
          <w:sz w:val="32"/>
          <w:szCs w:val="32"/>
        </w:rPr>
        <w:t>（二）开展现场核查</w:t>
      </w:r>
    </w:p>
    <w:p>
      <w:pPr>
        <w:spacing w:line="560" w:lineRule="exact"/>
        <w:ind w:firstLineChars="200" w:firstLine="640"/>
        <w:rPr>
          <w:rFonts w:eastAsia="方正仿宋_GBK"/>
          <w:sz w:val="32"/>
          <w:szCs w:val="32"/>
        </w:rPr>
      </w:pPr>
      <w:r>
        <w:rPr>
          <w:rFonts w:eastAsia="方正仿宋_GBK"/>
          <w:sz w:val="32"/>
          <w:szCs w:val="32"/>
        </w:rPr>
        <w:t>查阅复制与核查事项有关资料，现场检查货物与企业场所，询问企业人员等。</w:t>
      </w:r>
    </w:p>
    <w:p>
      <w:pPr>
        <w:spacing w:line="560" w:lineRule="exact"/>
        <w:ind w:firstLineChars="200" w:firstLine="640"/>
        <w:rPr>
          <w:rFonts w:eastAsia="方正仿宋_GBK"/>
          <w:sz w:val="32"/>
          <w:szCs w:val="32"/>
        </w:rPr>
      </w:pPr>
      <w:r>
        <w:rPr>
          <w:rFonts w:eastAsia="方正仿宋_GBK"/>
          <w:sz w:val="32"/>
          <w:szCs w:val="32"/>
        </w:rPr>
        <w:t>（三）</w:t>
        <w:tab/>
        <w:t>结束核查</w:t>
      </w:r>
    </w:p>
    <w:p>
      <w:pPr>
        <w:spacing w:line="560" w:lineRule="exact"/>
        <w:ind w:firstLineChars="200" w:firstLine="640"/>
        <w:rPr>
          <w:rFonts w:eastAsia="方正仿宋_GBK"/>
          <w:sz w:val="32"/>
          <w:szCs w:val="32"/>
        </w:rPr>
      </w:pPr>
      <w:r>
        <w:rPr>
          <w:rFonts w:eastAsia="方正仿宋_GBK"/>
          <w:sz w:val="32"/>
          <w:szCs w:val="32"/>
        </w:rPr>
        <w:t>核查结束时，海关填制《核查工作记录》，同时由被核查企业代表签章。</w:t>
      </w:r>
    </w:p>
    <w:p>
      <w:pPr>
        <w:spacing w:line="560" w:lineRule="exact"/>
        <w:ind w:firstLineChars="200" w:firstLine="640"/>
        <w:rPr>
          <w:rFonts w:eastAsia="方正仿宋_GBK"/>
          <w:sz w:val="32"/>
          <w:szCs w:val="32"/>
        </w:rPr>
      </w:pPr>
      <w:r>
        <w:rPr>
          <w:rFonts w:eastAsia="方正仿宋_GBK" w:hint="eastAsia"/>
          <w:sz w:val="32"/>
          <w:szCs w:val="32"/>
        </w:rPr>
        <w:t>具体详见如下流程图：</w:t>
      </w:r>
    </w:p>
    <w:p>
      <w:pPr>
        <w:spacing w:line="560" w:lineRule="exact"/>
        <w:ind w:firstLineChars="200" w:firstLine="640"/>
        <w:rPr>
          <w:rFonts w:eastAsia="方正仿宋_GBK"/>
          <w:sz w:val="32"/>
          <w:szCs w:val="32"/>
        </w:rPr>
      </w:pPr>
    </w:p>
    <w:p>
      <w:pPr>
        <w:spacing w:line="560" w:lineRule="exact"/>
        <w:ind w:left="0"/>
        <w:rPr>
          <w:rFonts w:eastAsia="方正仿宋_GBK"/>
          <w:sz w:val="32"/>
          <w:szCs w:val="32"/>
        </w:rPr>
      </w:pPr>
    </w:p>
    <w:p>
      <w:pPr>
        <w:spacing w:line="560" w:lineRule="exact"/>
        <w:ind w:firstLineChars="200" w:firstLine="420"/>
        <w:rPr>
          <w:rFonts w:eastAsia="方正仿宋_GBK"/>
          <w:sz w:val="32"/>
          <w:szCs w:val="32"/>
        </w:rPr>
      </w:pPr>
      <w: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position:absolute;margin-left:5.5502143pt;margin-top:1.2602042pt;width:410.24997pt;height:307.5pt;z-index:10;mso-position-horizontal:absolute;mso-position-vertical:absolute;mso-wrap-distance-left:8.999863pt;mso-wrap-distance-right:8.999863pt;" o:ole="">
            <v:stroke color="#000000"/>
            <v:imagedata r:id="rId2" o:title="239718081701224767945"/>
            <o:lock aspectratio="t"/>
          </v:shape>
          <o:OLEObject Type="Embed" ProgID="Package" ShapeID="_x0000_i1" DrawAspect="Icon" ObjectID="_1393063351" r:id="rId3"/>
        </w:object>
      </w: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黑体_GBK"/>
          <w:bCs/>
          <w:sz w:val="32"/>
          <w:szCs w:val="32"/>
        </w:rPr>
      </w:pPr>
      <w:r>
        <w:rPr>
          <w:rFonts w:eastAsia="方正黑体_GBK" w:hint="eastAsia"/>
          <w:bCs/>
          <w:sz w:val="32"/>
          <w:szCs w:val="32"/>
        </w:rPr>
        <w:t>十</w:t>
      </w:r>
      <w:r>
        <w:rPr>
          <w:rFonts w:eastAsia="方正黑体_GBK"/>
          <w:bCs/>
          <w:sz w:val="32"/>
          <w:szCs w:val="32"/>
        </w:rPr>
        <w:t>四</w:t>
      </w:r>
      <w:r>
        <w:rPr>
          <w:rFonts w:eastAsia="方正黑体_GBK" w:hint="eastAsia"/>
          <w:bCs/>
          <w:sz w:val="32"/>
          <w:szCs w:val="32"/>
        </w:rPr>
        <w:t>、办理形式：</w:t>
      </w:r>
      <w:r>
        <w:rPr>
          <w:rFonts w:eastAsia="方正仿宋_GBK" w:hint="eastAsia"/>
          <w:bCs/>
          <w:sz w:val="32"/>
          <w:szCs w:val="32"/>
        </w:rPr>
        <w:t>海关实地办理</w:t>
      </w:r>
      <w:r>
        <w:rPr>
          <w:rFonts w:eastAsia="方正仿宋_GBK"/>
          <w:bCs/>
          <w:sz w:val="32"/>
          <w:szCs w:val="32"/>
        </w:rPr>
        <w:t>。</w:t>
      </w:r>
    </w:p>
    <w:p>
      <w:pPr>
        <w:spacing w:line="560" w:lineRule="exact"/>
        <w:ind w:firstLineChars="200" w:firstLine="640"/>
        <w:rPr>
          <w:rFonts w:eastAsia="方正黑体_GBK"/>
          <w:bCs/>
          <w:sz w:val="32"/>
          <w:szCs w:val="32"/>
        </w:rPr>
      </w:pPr>
      <w:r>
        <w:rPr>
          <w:rFonts w:eastAsia="方正黑体_GBK" w:hint="eastAsia"/>
          <w:bCs/>
          <w:sz w:val="32"/>
          <w:szCs w:val="32"/>
        </w:rPr>
        <w:t>十</w:t>
      </w:r>
      <w:r>
        <w:rPr>
          <w:rFonts w:eastAsia="方正黑体_GBK"/>
          <w:bCs/>
          <w:sz w:val="32"/>
          <w:szCs w:val="32"/>
        </w:rPr>
        <w:t>五</w:t>
      </w:r>
      <w:r>
        <w:rPr>
          <w:rFonts w:eastAsia="方正黑体_GBK" w:hint="eastAsia"/>
          <w:bCs/>
          <w:sz w:val="32"/>
          <w:szCs w:val="32"/>
        </w:rPr>
        <w:t>、到办理现场次数：</w:t>
      </w:r>
      <w:r>
        <w:rPr>
          <w:rFonts w:eastAsia="方正仿宋_GBK" w:hint="eastAsia"/>
          <w:bCs/>
          <w:sz w:val="32"/>
          <w:szCs w:val="32"/>
        </w:rPr>
        <w:t>1次。</w:t>
      </w:r>
    </w:p>
    <w:p>
      <w:pPr>
        <w:spacing w:line="560" w:lineRule="exact"/>
        <w:ind w:firstLineChars="200" w:firstLine="640"/>
        <w:rPr>
          <w:rFonts w:eastAsia="方正仿宋_GBK"/>
          <w:bCs/>
          <w:sz w:val="32"/>
          <w:szCs w:val="32"/>
        </w:rPr>
      </w:pPr>
      <w:r>
        <w:rPr>
          <w:rFonts w:eastAsia="方正黑体_GBK" w:hint="eastAsia"/>
          <w:bCs/>
          <w:sz w:val="32"/>
          <w:szCs w:val="32"/>
        </w:rPr>
        <w:t>十</w:t>
      </w:r>
      <w:r>
        <w:rPr>
          <w:rFonts w:eastAsia="方正黑体_GBK"/>
          <w:bCs/>
          <w:sz w:val="32"/>
          <w:szCs w:val="32"/>
        </w:rPr>
        <w:t>六</w:t>
      </w:r>
      <w:r>
        <w:rPr>
          <w:rFonts w:eastAsia="方正黑体_GBK" w:hint="eastAsia"/>
          <w:bCs/>
          <w:sz w:val="32"/>
          <w:szCs w:val="32"/>
        </w:rPr>
        <w:t>、审查标准：</w:t>
      </w:r>
      <w:r>
        <w:rPr>
          <w:rFonts w:eastAsia="方正仿宋_GBK"/>
          <w:bCs/>
          <w:sz w:val="32"/>
          <w:szCs w:val="32"/>
        </w:rPr>
        <w:t>无</w:t>
      </w:r>
      <w:r>
        <w:rPr>
          <w:rFonts w:eastAsia="方正仿宋_GBK" w:hint="eastAsia"/>
          <w:bCs/>
          <w:sz w:val="32"/>
          <w:szCs w:val="32"/>
        </w:rPr>
        <w:t>。</w:t>
      </w:r>
    </w:p>
    <w:p>
      <w:pPr>
        <w:spacing w:line="560" w:lineRule="exact"/>
        <w:ind w:firstLineChars="200" w:firstLine="640"/>
        <w:rPr>
          <w:rFonts w:eastAsia="方正仿宋_GBK"/>
          <w:bCs/>
          <w:sz w:val="32"/>
          <w:szCs w:val="32"/>
        </w:rPr>
      </w:pPr>
      <w:r>
        <w:rPr>
          <w:rFonts w:eastAsia="方正黑体_GBK" w:hint="eastAsia"/>
          <w:bCs/>
          <w:sz w:val="32"/>
          <w:szCs w:val="32"/>
        </w:rPr>
        <w:t>十</w:t>
      </w:r>
      <w:r>
        <w:rPr>
          <w:rFonts w:eastAsia="方正黑体_GBK"/>
          <w:bCs/>
          <w:sz w:val="32"/>
          <w:szCs w:val="32"/>
        </w:rPr>
        <w:t>七</w:t>
      </w:r>
      <w:r>
        <w:rPr>
          <w:rFonts w:eastAsia="方正黑体_GBK" w:hint="eastAsia"/>
          <w:bCs/>
          <w:sz w:val="32"/>
          <w:szCs w:val="32"/>
        </w:rPr>
        <w:t>、通办范围：</w:t>
      </w:r>
      <w:r>
        <w:rPr>
          <w:rFonts w:eastAsia="方正仿宋_GBK"/>
          <w:bCs/>
          <w:sz w:val="32"/>
          <w:szCs w:val="32"/>
        </w:rPr>
        <w:t>包头海关各业务现场</w:t>
      </w:r>
      <w:r>
        <w:rPr>
          <w:rFonts w:eastAsia="方正仿宋_GBK" w:hint="eastAsia"/>
          <w:bCs/>
          <w:sz w:val="32"/>
          <w:szCs w:val="32"/>
        </w:rPr>
        <w:t>。</w:t>
      </w:r>
    </w:p>
    <w:p>
      <w:pPr>
        <w:spacing w:line="560" w:lineRule="exact"/>
        <w:ind w:firstLineChars="200" w:firstLine="640"/>
        <w:rPr>
          <w:rFonts w:eastAsia="方正仿宋_GBK"/>
          <w:bCs/>
          <w:sz w:val="32"/>
          <w:szCs w:val="32"/>
        </w:rPr>
      </w:pPr>
      <w:r>
        <w:rPr>
          <w:rFonts w:eastAsia="方正黑体_GBK" w:hint="eastAsia"/>
          <w:bCs/>
          <w:sz w:val="32"/>
          <w:szCs w:val="32"/>
        </w:rPr>
        <w:t>十</w:t>
      </w:r>
      <w:r>
        <w:rPr>
          <w:rFonts w:eastAsia="方正黑体_GBK"/>
          <w:bCs/>
          <w:sz w:val="32"/>
          <w:szCs w:val="32"/>
        </w:rPr>
        <w:t>八</w:t>
      </w:r>
      <w:r>
        <w:rPr>
          <w:rFonts w:eastAsia="方正黑体_GBK" w:hint="eastAsia"/>
          <w:bCs/>
          <w:sz w:val="32"/>
          <w:szCs w:val="32"/>
        </w:rPr>
        <w:t>、预约办理：</w:t>
      </w:r>
      <w:r>
        <w:rPr>
          <w:rFonts w:eastAsia="方正仿宋_GBK" w:cs="宋体" w:hint="eastAsia"/>
          <w:bCs/>
          <w:kern w:val="0"/>
          <w:sz w:val="32"/>
          <w:szCs w:val="32"/>
        </w:rPr>
        <w:t>否。</w:t>
      </w:r>
    </w:p>
    <w:p>
      <w:pPr>
        <w:spacing w:line="560" w:lineRule="exact"/>
        <w:ind w:firstLineChars="200" w:firstLine="640"/>
        <w:rPr>
          <w:rFonts w:eastAsia="方正仿宋_GBK"/>
          <w:bCs/>
          <w:sz w:val="32"/>
          <w:szCs w:val="32"/>
        </w:rPr>
      </w:pPr>
      <w:r>
        <w:rPr>
          <w:rFonts w:eastAsia="方正黑体_GBK" w:hint="eastAsia"/>
          <w:bCs/>
          <w:sz w:val="32"/>
          <w:szCs w:val="32"/>
        </w:rPr>
        <w:t>十</w:t>
      </w:r>
      <w:r>
        <w:rPr>
          <w:rFonts w:eastAsia="方正黑体_GBK"/>
          <w:bCs/>
          <w:sz w:val="32"/>
          <w:szCs w:val="32"/>
        </w:rPr>
        <w:t>九</w:t>
      </w:r>
      <w:r>
        <w:rPr>
          <w:rFonts w:eastAsia="方正黑体_GBK" w:hint="eastAsia"/>
          <w:bCs/>
          <w:sz w:val="32"/>
          <w:szCs w:val="32"/>
        </w:rPr>
        <w:t>、网上支付：</w:t>
      </w:r>
      <w:r>
        <w:rPr>
          <w:rFonts w:eastAsia="方正仿宋_GBK" w:cs="宋体" w:hint="eastAsia"/>
          <w:bCs/>
          <w:kern w:val="0"/>
          <w:sz w:val="32"/>
          <w:szCs w:val="32"/>
        </w:rPr>
        <w:t>否。</w:t>
      </w:r>
    </w:p>
    <w:p>
      <w:pPr>
        <w:spacing w:line="560" w:lineRule="exact"/>
        <w:ind w:firstLineChars="200" w:firstLine="640"/>
        <w:rPr>
          <w:rFonts w:eastAsia="方正仿宋_GBK"/>
          <w:bCs/>
          <w:sz w:val="32"/>
          <w:szCs w:val="32"/>
        </w:rPr>
      </w:pPr>
      <w:r>
        <w:rPr>
          <w:rFonts w:eastAsia="方正黑体_GBK"/>
          <w:bCs/>
          <w:sz w:val="32"/>
          <w:szCs w:val="32"/>
        </w:rPr>
        <w:t>二</w:t>
      </w:r>
      <w:r>
        <w:rPr>
          <w:rFonts w:eastAsia="方正黑体_GBK" w:hint="eastAsia"/>
          <w:bCs/>
          <w:sz w:val="32"/>
          <w:szCs w:val="32"/>
        </w:rPr>
        <w:t>十、物流快递：</w:t>
      </w:r>
      <w:r>
        <w:rPr>
          <w:rFonts w:eastAsia="方正仿宋_GBK" w:cs="宋体"/>
          <w:bCs/>
          <w:kern w:val="0"/>
          <w:sz w:val="32"/>
          <w:szCs w:val="32"/>
        </w:rPr>
        <w:t>否</w:t>
      </w:r>
      <w:r>
        <w:rPr>
          <w:rFonts w:eastAsia="方正仿宋_GBK" w:cs="宋体" w:hint="eastAsia"/>
          <w:bCs/>
          <w:kern w:val="0"/>
          <w:sz w:val="32"/>
          <w:szCs w:val="32"/>
        </w:rPr>
        <w:t>。</w:t>
      </w:r>
    </w:p>
    <w:p>
      <w:pPr>
        <w:spacing w:line="560" w:lineRule="exact"/>
        <w:ind w:firstLineChars="200" w:firstLine="640"/>
        <w:rPr>
          <w:rFonts w:eastAsia="方正黑体_GBK"/>
          <w:bCs/>
          <w:color w:val="FF0000"/>
          <w:sz w:val="32"/>
          <w:szCs w:val="32"/>
        </w:rPr>
      </w:pPr>
      <w:r>
        <w:rPr>
          <w:rFonts w:eastAsia="方正黑体_GBK" w:hint="eastAsia"/>
          <w:bCs/>
          <w:sz w:val="32"/>
          <w:szCs w:val="32"/>
        </w:rPr>
        <w:t>二十一、办理地点：</w:t>
      </w:r>
      <w:r>
        <w:rPr>
          <w:rFonts w:eastAsia="方正仿宋_GBK" w:hint="eastAsia"/>
          <w:bCs/>
          <w:sz w:val="32"/>
          <w:szCs w:val="32"/>
        </w:rPr>
        <w:t>货物与企业被</w:t>
      </w:r>
      <w:r>
        <w:rPr>
          <w:rFonts w:eastAsia="方正仿宋_GBK"/>
          <w:bCs/>
          <w:sz w:val="32"/>
          <w:szCs w:val="32"/>
        </w:rPr>
        <w:t>核查</w:t>
      </w:r>
      <w:r>
        <w:rPr>
          <w:rFonts w:eastAsia="方正仿宋_GBK" w:hint="eastAsia"/>
          <w:bCs/>
          <w:sz w:val="32"/>
          <w:szCs w:val="32"/>
        </w:rPr>
        <w:t>场所</w:t>
      </w:r>
      <w:r>
        <w:rPr>
          <w:rFonts w:eastAsia="方正仿宋_GBK"/>
          <w:sz w:val="32"/>
          <w:szCs w:val="32"/>
        </w:rPr>
        <w:t>。</w:t>
      </w:r>
    </w:p>
    <w:p>
      <w:pPr>
        <w:pStyle w:val="37"/>
        <w:spacing w:line="560" w:lineRule="exact"/>
        <w:ind w:firstLineChars="200" w:firstLine="640"/>
        <w:rPr>
          <w:rFonts w:eastAsia="方正仿宋_GBK"/>
          <w:spacing w:val="-4"/>
          <w:sz w:val="32"/>
          <w:szCs w:val="32"/>
        </w:rPr>
      </w:pPr>
      <w:r>
        <w:rPr>
          <w:rFonts w:eastAsia="方正黑体_GBK"/>
          <w:bCs/>
          <w:sz w:val="32"/>
          <w:szCs w:val="32"/>
        </w:rPr>
        <w:t>二十</w:t>
      </w:r>
      <w:r>
        <w:rPr>
          <w:rFonts w:eastAsia="方正黑体_GBK" w:hint="eastAsia"/>
          <w:bCs/>
          <w:sz w:val="32"/>
          <w:szCs w:val="32"/>
        </w:rPr>
        <w:t>二</w:t>
      </w:r>
      <w:r>
        <w:rPr>
          <w:rFonts w:eastAsia="方正黑体_GBK"/>
          <w:bCs/>
          <w:sz w:val="32"/>
          <w:szCs w:val="32"/>
        </w:rPr>
        <w:t>、办理时间：</w:t>
      </w:r>
      <w:r>
        <w:rPr>
          <w:rFonts w:ascii="方正仿宋_GBK" w:eastAsia="方正仿宋_GBK" w:cs="方正黑体_GBK" w:hint="eastAsia"/>
          <w:bCs/>
          <w:sz w:val="32"/>
          <w:szCs w:val="32"/>
          <w:lang w:bidi="ar-SA"/>
        </w:rPr>
        <w:t>监管一科业务现场：法定工作日</w:t>
      </w:r>
      <w:r>
        <w:rPr>
          <w:rFonts w:ascii="Times New Roman" w:eastAsia="方正仿宋_GBK" w:cs="方正黑体_GBK" w:hAnsi="Times New Roman"/>
          <w:bCs/>
          <w:spacing w:val="-6"/>
          <w:sz w:val="32"/>
          <w:szCs w:val="32"/>
          <w:lang w:bidi="ar-SA"/>
        </w:rPr>
        <w:t>8:00-12:00,14:00-17:00；监管三科业务现场：法定工作日9:00-12:00,13:30-17:00</w:t>
      </w:r>
      <w:r>
        <w:rPr>
          <w:rFonts w:ascii="Times New Roman" w:eastAsia="方正仿宋_GBK" w:hAnsi="Times New Roman"/>
          <w:bCs/>
          <w:spacing w:val="-6"/>
          <w:sz w:val="32"/>
          <w:szCs w:val="32"/>
        </w:rPr>
        <w:t>或拨打12360海关服务热线。</w:t>
      </w:r>
      <w:bookmarkStart w:id="0" w:name="_GoBack"/>
      <w:bookmarkEnd w:id="0"/>
    </w:p>
    <w:p>
      <w:pPr>
        <w:spacing w:line="560" w:lineRule="exact"/>
        <w:ind w:firstLineChars="200" w:firstLine="640"/>
        <w:rPr>
          <w:rFonts w:eastAsia="方正仿宋_GBK"/>
          <w:bCs/>
          <w:sz w:val="32"/>
          <w:szCs w:val="32"/>
        </w:rPr>
      </w:pPr>
      <w:r>
        <w:rPr>
          <w:rFonts w:eastAsia="方正黑体_GBK"/>
          <w:bCs/>
          <w:sz w:val="32"/>
          <w:szCs w:val="32"/>
        </w:rPr>
        <w:t>二十</w:t>
      </w:r>
      <w:r>
        <w:rPr>
          <w:rFonts w:eastAsia="方正黑体_GBK" w:hint="eastAsia"/>
          <w:bCs/>
          <w:sz w:val="32"/>
          <w:szCs w:val="32"/>
        </w:rPr>
        <w:t>三</w:t>
      </w:r>
      <w:r>
        <w:rPr>
          <w:rFonts w:eastAsia="方正黑体_GBK"/>
          <w:bCs/>
          <w:sz w:val="32"/>
          <w:szCs w:val="32"/>
        </w:rPr>
        <w:t>、咨询电话：</w:t>
      </w:r>
      <w:r>
        <w:rPr>
          <w:rFonts w:ascii="Times New Roman" w:eastAsia="方正仿宋_GBK" w:hAnsi="Times New Roman"/>
          <w:bCs/>
          <w:spacing w:val="-6"/>
          <w:sz w:val="32"/>
          <w:szCs w:val="32"/>
        </w:rPr>
        <w:t>0472-2745152；0472-2745252；0472-2631391或拨打12360</w:t>
      </w:r>
      <w:r>
        <w:rPr>
          <w:rFonts w:ascii="方正仿宋_GBK" w:eastAsia="方正仿宋_GBK" w:hint="eastAsia"/>
          <w:bCs/>
          <w:spacing w:val="-6"/>
          <w:sz w:val="32"/>
          <w:szCs w:val="32"/>
        </w:rPr>
        <w:t>海关服务热线。</w:t>
      </w:r>
    </w:p>
    <w:p>
      <w:pPr>
        <w:pStyle w:val="150"/>
        <w:spacing w:line="560" w:lineRule="exact"/>
        <w:ind w:left="-14" w:right="-149" w:firstLineChars="200" w:firstLine="640"/>
        <w:rPr>
          <w:rFonts w:eastAsia="方正仿宋简体" w:hint="eastAsia"/>
          <w:bCs/>
          <w:spacing w:val="-6"/>
          <w:sz w:val="32"/>
          <w:szCs w:val="32"/>
        </w:rPr>
      </w:pPr>
      <w:r>
        <w:rPr>
          <w:rFonts w:eastAsia="方正黑体_GBK"/>
          <w:bCs/>
          <w:sz w:val="32"/>
          <w:szCs w:val="32"/>
        </w:rPr>
        <w:t>二十</w:t>
      </w:r>
      <w:r>
        <w:rPr>
          <w:rFonts w:eastAsia="方正黑体_GBK" w:hint="eastAsia"/>
          <w:bCs/>
          <w:sz w:val="32"/>
          <w:szCs w:val="32"/>
        </w:rPr>
        <w:t>四</w:t>
      </w:r>
      <w:r>
        <w:rPr>
          <w:rFonts w:eastAsia="方正黑体_GBK"/>
          <w:bCs/>
          <w:sz w:val="32"/>
          <w:szCs w:val="32"/>
        </w:rPr>
        <w:t>、监督电话：</w:t>
      </w:r>
      <w:r>
        <w:rPr>
          <w:rFonts w:ascii="Times New Roman" w:eastAsia="方正仿宋_GBK" w:hAnsi="Times New Roman"/>
          <w:bCs/>
          <w:spacing w:val="-6"/>
          <w:sz w:val="32"/>
          <w:szCs w:val="32"/>
        </w:rPr>
        <w:t>0472-2745259</w:t>
      </w:r>
      <w:r>
        <w:rPr>
          <w:rFonts w:ascii="方正仿宋_GBK" w:eastAsia="方正仿宋_GBK" w:hint="eastAsia"/>
          <w:bCs/>
          <w:spacing w:val="-6"/>
          <w:sz w:val="32"/>
          <w:szCs w:val="32"/>
        </w:rPr>
        <w:t>或拨打</w:t>
      </w:r>
      <w:r>
        <w:rPr>
          <w:rFonts w:ascii="Times New Roman" w:eastAsia="方正仿宋_GBK" w:hAnsi="Times New Roman"/>
          <w:bCs/>
          <w:spacing w:val="-6"/>
          <w:sz w:val="32"/>
          <w:szCs w:val="32"/>
        </w:rPr>
        <w:t>12360海关服</w:t>
      </w:r>
      <w:r>
        <w:rPr>
          <w:rFonts w:ascii="方正仿宋_GBK" w:eastAsia="方正仿宋_GBK" w:hint="eastAsia"/>
          <w:bCs/>
          <w:spacing w:val="-6"/>
          <w:sz w:val="32"/>
          <w:szCs w:val="32"/>
        </w:rPr>
        <w:t>务热线。</w:t>
      </w:r>
    </w:p>
    <w:p>
      <w:pPr>
        <w:spacing w:line="560" w:lineRule="exact"/>
        <w:ind w:firstLineChars="200" w:firstLine="640"/>
        <w:rPr>
          <w:rFonts w:eastAsia="方正仿宋_GBK"/>
          <w:bCs/>
          <w:sz w:val="32"/>
          <w:szCs w:val="32"/>
        </w:rPr>
      </w:pPr>
    </w:p>
    <w:p>
      <w:pPr>
        <w:pStyle w:val="46"/>
        <w:rPr>
          <w:rFonts w:ascii="方正黑体_GBK" w:eastAsia="方正黑体_GBK"/>
          <w:szCs w:val="32"/>
        </w:rPr>
      </w:pPr>
      <w:r>
        <w:br w:type="page"/>
      </w:r>
      <w:r>
        <w:rPr>
          <w:rFonts w:ascii="方正黑体_GBK" w:eastAsia="方正黑体_GBK" w:hint="eastAsia"/>
          <w:szCs w:val="32"/>
        </w:rPr>
        <w:t>附件</w:t>
      </w:r>
    </w:p>
    <w:p>
      <w:pPr>
        <w:pStyle w:val="46"/>
        <w:snapToGrid w:val="0"/>
        <w:spacing w:before="100" w:beforeAutospacing="1" w:after="100" w:afterAutospacing="1" w:line="600" w:lineRule="atLeast"/>
        <w:jc w:val="center"/>
        <w:rPr>
          <w:rFonts w:ascii="方正小标宋_GBK" w:eastAsia="方正小标宋_GBK"/>
          <w:sz w:val="44"/>
          <w:szCs w:val="44"/>
        </w:rPr>
      </w:pPr>
      <w:r>
        <w:rPr>
          <w:rFonts w:ascii="方正小标宋_GBK" w:eastAsia="方正小标宋_GBK" w:hint="eastAsia"/>
          <w:sz w:val="44"/>
          <w:szCs w:val="44"/>
        </w:rPr>
        <w:t>核查工作记录</w:t>
      </w:r>
    </w:p>
    <w:p>
      <w:pPr>
        <w:pStyle w:val="46"/>
        <w:snapToGrid w:val="0"/>
        <w:spacing w:before="100" w:beforeAutospacing="1" w:after="100" w:afterAutospacing="1" w:line="600" w:lineRule="atLeast"/>
        <w:jc w:val="center"/>
        <w:rPr>
          <w:rFonts w:ascii="方正仿宋_GBK"/>
          <w:sz w:val="30"/>
          <w:szCs w:val="30"/>
        </w:rPr>
      </w:pPr>
      <w:r>
        <w:rPr>
          <w:rFonts w:ascii="方正小标宋_GBK" w:eastAsia="方正小标宋_GBK" w:hint="eastAsia"/>
          <w:szCs w:val="24"/>
        </w:rPr>
        <w:t xml:space="preserve">                                      </w:t>
      </w:r>
      <w:r>
        <w:rPr>
          <w:rFonts w:ascii="方正仿宋_GBK" w:hint="eastAsia"/>
          <w:sz w:val="30"/>
          <w:szCs w:val="30"/>
        </w:rPr>
        <w:t>编号：</w:t>
      </w:r>
      <w:r>
        <w:rPr>
          <w:rFonts w:hint="eastAsia"/>
          <w:sz w:val="30"/>
          <w:szCs w:val="30"/>
          <w:u w:val="single"/>
        </w:rPr>
        <w:t>           </w:t>
      </w:r>
      <w:r>
        <w:rPr>
          <w:rFonts w:ascii="方正仿宋_GBK" w:hint="eastAsia"/>
          <w:sz w:val="30"/>
          <w:szCs w:val="30"/>
          <w:u w:val="single"/>
        </w:rPr>
        <w:t xml:space="preserve">   </w:t>
      </w:r>
    </w:p>
    <w:tbl>
      <w:tblPr>
        <w:jc w:val="center"/>
        <w:tblBorders>
          <w:top w:val="none" w:sz="0" w:space="0" w:color="auto"/>
          <w:left w:val="none" w:sz="0" w:space="0" w:color="auto"/>
          <w:bottom w:val="none" w:sz="0" w:space="0" w:color="auto"/>
          <w:right w:val="none" w:sz="0" w:space="0" w:color="auto"/>
          <w:insideH w:val="outset" w:sz="6" w:space="0" w:color="auto"/>
          <w:insideV w:val="outset" w:sz="6" w:space="0" w:color="auto"/>
        </w:tblBorders>
        <w:tblLayout w:type="fixed"/>
        <w:tblCellMar>
          <w:top w:w="0" w:type="dxa"/>
          <w:left w:w="0" w:type="dxa"/>
          <w:bottom w:w="0" w:type="dxa"/>
          <w:right w:w="0" w:type="dxa"/>
        </w:tblCellMar>
      </w:tblPr>
      <w:tblGrid>
        <w:gridCol w:w="503"/>
        <w:gridCol w:w="2520"/>
        <w:gridCol w:w="1283"/>
        <w:gridCol w:w="985"/>
        <w:gridCol w:w="1701"/>
        <w:gridCol w:w="1944"/>
      </w:tblGrid>
      <w:tr>
        <w:trPr>
          <w:cantSplit/>
          <w:trHeight w:val="454"/>
        </w:trPr>
        <w:tc>
          <w:tcPr>
            <w:tcW w:w="503" w:type="dxa"/>
            <w:vMerge w:val="restart"/>
            <w:tcBorders>
              <w:top w:val="single" w:sz="8" w:space="0" w:color="auto"/>
              <w:left w:val="single" w:sz="8" w:space="0" w:color="auto"/>
              <w:bottom w:val="single" w:sz="8" w:space="0" w:color="auto"/>
              <w:right w:val="single" w:sz="8" w:space="0" w:color="auto"/>
            </w:tcBorders>
            <w:tcMar>
              <w:left w:w="108" w:type="dxa"/>
              <w:right w:w="108" w:type="dxa"/>
            </w:tcMar>
          </w:tcPr>
          <w:p>
            <w:pPr>
              <w:pStyle w:val="46"/>
              <w:rPr>
                <w:sz w:val="21"/>
                <w:szCs w:val="21"/>
              </w:rPr>
            </w:pPr>
            <w:r>
              <w:rPr>
                <w:rFonts w:hint="eastAsia"/>
                <w:sz w:val="21"/>
                <w:szCs w:val="21"/>
              </w:rPr>
              <w:t>企业情况</w:t>
            </w:r>
          </w:p>
        </w:tc>
        <w:tc>
          <w:tcPr>
            <w:tcW w:w="2520" w:type="dxa"/>
            <w:tcBorders>
              <w:top w:val="single" w:sz="8" w:space="0" w:color="auto"/>
              <w:left w:val="nil"/>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名称</w:t>
            </w:r>
          </w:p>
        </w:tc>
        <w:tc>
          <w:tcPr>
            <w:tcW w:w="5913" w:type="dxa"/>
            <w:gridSpan w:val="4"/>
            <w:tcBorders>
              <w:top w:val="single" w:sz="8" w:space="0" w:color="auto"/>
              <w:left w:val="nil"/>
              <w:bottom w:val="single" w:sz="8" w:space="0" w:color="auto"/>
              <w:right w:val="single" w:sz="8" w:space="0" w:color="auto"/>
            </w:tcBorders>
            <w:tcMar>
              <w:left w:w="108" w:type="dxa"/>
              <w:right w:w="108" w:type="dxa"/>
            </w:tcMar>
            <w:vAlign w:val="center"/>
          </w:tcPr>
          <w:p>
            <w:pPr>
              <w:pStyle w:val="46"/>
              <w:rPr>
                <w:sz w:val="21"/>
                <w:szCs w:val="21"/>
              </w:rPr>
            </w:pPr>
            <w:r>
              <w:rPr>
                <w:sz w:val="21"/>
                <w:szCs w:val="21"/>
              </w:rPr>
              <w:t> </w:t>
            </w:r>
          </w:p>
        </w:tc>
      </w:tr>
      <w:tr>
        <w:trPr>
          <w:cantSplit/>
          <w:trHeight w:val="459"/>
        </w:trPr>
        <w:tc>
          <w:tcPr>
            <w:tcW w:w="503" w:type="dxa"/>
            <w:vMerge/>
            <w:tcBorders>
              <w:top w:val="single" w:sz="8" w:space="0" w:color="auto"/>
              <w:left w:val="single" w:sz="8" w:space="0" w:color="auto"/>
              <w:bottom w:val="single" w:sz="8" w:space="0" w:color="auto"/>
              <w:right w:val="single" w:sz="8" w:space="0" w:color="auto"/>
            </w:tcBorders>
          </w:tcPr>
          <w:p/>
        </w:tc>
        <w:tc>
          <w:tcPr>
            <w:tcW w:w="2520" w:type="dxa"/>
            <w:tcBorders>
              <w:top w:val="nil"/>
              <w:left w:val="nil"/>
              <w:bottom w:val="single" w:sz="8" w:space="0" w:color="auto"/>
              <w:right w:val="single" w:sz="8" w:space="0" w:color="auto"/>
            </w:tcBorders>
            <w:tcMar>
              <w:left w:w="108" w:type="dxa"/>
              <w:right w:w="108" w:type="dxa"/>
            </w:tcMar>
            <w:vAlign w:val="center"/>
          </w:tcPr>
          <w:p>
            <w:pPr>
              <w:pStyle w:val="46"/>
              <w:spacing w:line="400" w:lineRule="exact"/>
              <w:rPr>
                <w:sz w:val="21"/>
                <w:szCs w:val="21"/>
              </w:rPr>
            </w:pPr>
            <w:r>
              <w:rPr>
                <w:rFonts w:hint="eastAsia"/>
                <w:sz w:val="21"/>
                <w:szCs w:val="21"/>
              </w:rPr>
              <w:t>统一社会信用代码（或注册/备案号）</w:t>
            </w:r>
          </w:p>
        </w:tc>
        <w:tc>
          <w:tcPr>
            <w:tcW w:w="5913" w:type="dxa"/>
            <w:gridSpan w:val="4"/>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sz w:val="21"/>
                <w:szCs w:val="21"/>
              </w:rPr>
              <w:t> </w:t>
            </w:r>
          </w:p>
        </w:tc>
      </w:tr>
      <w:tr>
        <w:trPr>
          <w:cantSplit/>
          <w:trHeight w:val="481"/>
        </w:trPr>
        <w:tc>
          <w:tcPr>
            <w:tcW w:w="503" w:type="dxa"/>
            <w:vMerge/>
            <w:tcBorders>
              <w:top w:val="single" w:sz="8" w:space="0" w:color="auto"/>
              <w:left w:val="single" w:sz="8" w:space="0" w:color="auto"/>
              <w:bottom w:val="single" w:sz="8" w:space="0" w:color="auto"/>
              <w:right w:val="single" w:sz="8" w:space="0" w:color="auto"/>
            </w:tcBorders>
          </w:tcPr>
          <w:p/>
        </w:tc>
        <w:tc>
          <w:tcPr>
            <w:tcW w:w="2520" w:type="dxa"/>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工商注册地址</w:t>
            </w:r>
          </w:p>
        </w:tc>
        <w:tc>
          <w:tcPr>
            <w:tcW w:w="5913" w:type="dxa"/>
            <w:gridSpan w:val="4"/>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sz w:val="21"/>
                <w:szCs w:val="21"/>
              </w:rPr>
              <w:t> </w:t>
            </w:r>
          </w:p>
        </w:tc>
      </w:tr>
      <w:tr>
        <w:trPr>
          <w:cantSplit/>
          <w:trHeight w:val="269"/>
        </w:trPr>
        <w:tc>
          <w:tcPr>
            <w:tcW w:w="503" w:type="dxa"/>
            <w:vMerge/>
            <w:tcBorders>
              <w:top w:val="single" w:sz="8" w:space="0" w:color="auto"/>
              <w:left w:val="single" w:sz="8" w:space="0" w:color="auto"/>
              <w:bottom w:val="single" w:sz="8" w:space="0" w:color="auto"/>
              <w:right w:val="single" w:sz="8" w:space="0" w:color="auto"/>
            </w:tcBorders>
          </w:tcPr>
          <w:p/>
        </w:tc>
        <w:tc>
          <w:tcPr>
            <w:tcW w:w="2520" w:type="dxa"/>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联系人</w:t>
            </w:r>
          </w:p>
        </w:tc>
        <w:tc>
          <w:tcPr>
            <w:tcW w:w="2268" w:type="dxa"/>
            <w:gridSpan w:val="2"/>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sz w:val="21"/>
                <w:szCs w:val="21"/>
              </w:rPr>
              <w:t> </w:t>
            </w:r>
          </w:p>
        </w:tc>
        <w:tc>
          <w:tcPr>
            <w:tcW w:w="1701" w:type="dxa"/>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联系电话</w:t>
            </w:r>
          </w:p>
        </w:tc>
        <w:tc>
          <w:tcPr>
            <w:tcW w:w="1944" w:type="dxa"/>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sz w:val="21"/>
                <w:szCs w:val="21"/>
              </w:rPr>
              <w:t> </w:t>
            </w:r>
          </w:p>
        </w:tc>
      </w:tr>
      <w:tr>
        <w:trPr>
          <w:cantSplit/>
          <w:trHeight w:val="425"/>
        </w:trPr>
        <w:tc>
          <w:tcPr>
            <w:tcW w:w="503" w:type="dxa"/>
            <w:vMerge w:val="restart"/>
            <w:tcBorders>
              <w:top w:val="nil"/>
              <w:left w:val="single" w:sz="8" w:space="0" w:color="auto"/>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核</w:t>
            </w:r>
          </w:p>
          <w:p>
            <w:pPr>
              <w:pStyle w:val="46"/>
              <w:rPr>
                <w:sz w:val="21"/>
                <w:szCs w:val="21"/>
              </w:rPr>
            </w:pPr>
            <w:r>
              <w:rPr>
                <w:rFonts w:hint="eastAsia"/>
                <w:sz w:val="21"/>
                <w:szCs w:val="21"/>
              </w:rPr>
              <w:t>查</w:t>
            </w:r>
          </w:p>
          <w:p>
            <w:pPr>
              <w:pStyle w:val="46"/>
              <w:rPr>
                <w:sz w:val="21"/>
                <w:szCs w:val="21"/>
              </w:rPr>
            </w:pPr>
            <w:r>
              <w:rPr>
                <w:rFonts w:hint="eastAsia"/>
                <w:sz w:val="21"/>
                <w:szCs w:val="21"/>
              </w:rPr>
              <w:t>情</w:t>
            </w:r>
          </w:p>
          <w:p>
            <w:pPr>
              <w:pStyle w:val="46"/>
              <w:rPr>
                <w:sz w:val="21"/>
                <w:szCs w:val="21"/>
              </w:rPr>
            </w:pPr>
            <w:r>
              <w:rPr>
                <w:rFonts w:hint="eastAsia"/>
                <w:sz w:val="21"/>
                <w:szCs w:val="21"/>
              </w:rPr>
              <w:t>况</w:t>
            </w:r>
          </w:p>
        </w:tc>
        <w:tc>
          <w:tcPr>
            <w:tcW w:w="2520" w:type="dxa"/>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核查时间</w:t>
            </w:r>
          </w:p>
        </w:tc>
        <w:tc>
          <w:tcPr>
            <w:tcW w:w="2268" w:type="dxa"/>
            <w:gridSpan w:val="2"/>
            <w:tcBorders>
              <w:top w:val="nil"/>
              <w:left w:val="nil"/>
              <w:bottom w:val="single" w:sz="8" w:space="0" w:color="auto"/>
              <w:right w:val="single" w:sz="8" w:space="0" w:color="auto"/>
            </w:tcBorders>
            <w:tcMar>
              <w:left w:w="108" w:type="dxa"/>
              <w:right w:w="108" w:type="dxa"/>
            </w:tcMar>
          </w:tcPr>
          <w:p>
            <w:pPr>
              <w:pStyle w:val="46"/>
              <w:rPr>
                <w:sz w:val="21"/>
                <w:szCs w:val="21"/>
              </w:rPr>
            </w:pPr>
            <w:r>
              <w:rPr>
                <w:sz w:val="21"/>
                <w:szCs w:val="21"/>
              </w:rPr>
              <w:t> </w:t>
            </w:r>
          </w:p>
        </w:tc>
        <w:tc>
          <w:tcPr>
            <w:tcW w:w="1701" w:type="dxa"/>
            <w:tcBorders>
              <w:top w:val="nil"/>
              <w:left w:val="nil"/>
              <w:bottom w:val="single" w:sz="8" w:space="0" w:color="auto"/>
              <w:right w:val="single" w:sz="8" w:space="0" w:color="auto"/>
            </w:tcBorders>
          </w:tcPr>
          <w:p>
            <w:pPr>
              <w:pStyle w:val="46"/>
              <w:ind w:firstLineChars="50" w:firstLine="105"/>
              <w:rPr>
                <w:sz w:val="21"/>
                <w:szCs w:val="21"/>
              </w:rPr>
            </w:pPr>
            <w:r>
              <w:rPr>
                <w:rFonts w:hint="eastAsia"/>
                <w:sz w:val="21"/>
                <w:szCs w:val="21"/>
              </w:rPr>
              <w:t>是否通知</w:t>
            </w:r>
          </w:p>
        </w:tc>
        <w:tc>
          <w:tcPr>
            <w:tcW w:w="1944" w:type="dxa"/>
            <w:tcBorders>
              <w:top w:val="nil"/>
              <w:left w:val="nil"/>
              <w:bottom w:val="single" w:sz="8" w:space="0" w:color="auto"/>
              <w:right w:val="single" w:sz="8" w:space="0" w:color="auto"/>
            </w:tcBorders>
          </w:tcPr>
          <w:p>
            <w:pPr>
              <w:pStyle w:val="46"/>
              <w:ind w:firstLineChars="50" w:firstLine="105"/>
              <w:rPr>
                <w:sz w:val="21"/>
                <w:szCs w:val="21"/>
              </w:rPr>
            </w:pPr>
            <w:r>
              <w:rPr>
                <w:rFonts w:hint="eastAsia"/>
                <w:sz w:val="21"/>
                <w:szCs w:val="21"/>
              </w:rPr>
              <w:t>□是  □否</w:t>
            </w:r>
          </w:p>
        </w:tc>
      </w:tr>
      <w:tr>
        <w:trPr>
          <w:cantSplit/>
          <w:trHeight w:val="463"/>
        </w:trPr>
        <w:tc>
          <w:tcPr>
            <w:tcW w:w="503" w:type="dxa"/>
            <w:vMerge/>
            <w:tcBorders>
              <w:top w:val="nil"/>
              <w:left w:val="single" w:sz="8" w:space="0" w:color="auto"/>
              <w:bottom w:val="single" w:sz="8" w:space="0" w:color="auto"/>
              <w:right w:val="single" w:sz="8" w:space="0" w:color="auto"/>
            </w:tcBorders>
            <w:vAlign w:val="center"/>
          </w:tcPr>
          <w:p/>
        </w:tc>
        <w:tc>
          <w:tcPr>
            <w:tcW w:w="2520" w:type="dxa"/>
            <w:tcBorders>
              <w:top w:val="nil"/>
              <w:left w:val="nil"/>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核查地点</w:t>
            </w:r>
          </w:p>
        </w:tc>
        <w:tc>
          <w:tcPr>
            <w:tcW w:w="5913" w:type="dxa"/>
            <w:gridSpan w:val="4"/>
            <w:tcBorders>
              <w:top w:val="nil"/>
              <w:left w:val="nil"/>
              <w:bottom w:val="single" w:sz="8" w:space="0" w:color="auto"/>
              <w:right w:val="single" w:sz="8" w:space="0" w:color="auto"/>
            </w:tcBorders>
            <w:tcMar>
              <w:left w:w="108" w:type="dxa"/>
              <w:right w:w="108" w:type="dxa"/>
            </w:tcMar>
          </w:tcPr>
          <w:p>
            <w:pPr>
              <w:pStyle w:val="46"/>
              <w:rPr>
                <w:sz w:val="21"/>
                <w:szCs w:val="21"/>
              </w:rPr>
            </w:pPr>
            <w:r>
              <w:rPr>
                <w:sz w:val="21"/>
                <w:szCs w:val="21"/>
              </w:rPr>
              <w:t> </w:t>
            </w:r>
          </w:p>
        </w:tc>
      </w:tr>
      <w:tr>
        <w:trPr>
          <w:cantSplit/>
          <w:trHeight w:val="604"/>
        </w:trPr>
        <w:tc>
          <w:tcPr>
            <w:tcW w:w="503" w:type="dxa"/>
            <w:vMerge/>
            <w:tcBorders>
              <w:top w:val="nil"/>
              <w:left w:val="single" w:sz="8" w:space="0" w:color="auto"/>
              <w:bottom w:val="single" w:sz="8" w:space="0" w:color="auto"/>
              <w:right w:val="single" w:sz="8" w:space="0" w:color="auto"/>
            </w:tcBorders>
            <w:vAlign w:val="center"/>
          </w:tcPr>
          <w:p/>
        </w:tc>
        <w:tc>
          <w:tcPr>
            <w:tcW w:w="8433" w:type="dxa"/>
            <w:gridSpan w:val="5"/>
            <w:tcBorders>
              <w:top w:val="nil"/>
              <w:left w:val="nil"/>
              <w:bottom w:val="single" w:sz="8" w:space="0" w:color="auto"/>
              <w:right w:val="single" w:sz="8" w:space="0" w:color="auto"/>
            </w:tcBorders>
            <w:tcMar>
              <w:left w:w="108" w:type="dxa"/>
              <w:right w:w="108" w:type="dxa"/>
            </w:tcMar>
          </w:tcPr>
          <w:p>
            <w:pPr>
              <w:pStyle w:val="46"/>
              <w:rPr>
                <w:sz w:val="21"/>
                <w:szCs w:val="21"/>
              </w:rPr>
            </w:pPr>
            <w:r>
              <w:rPr>
                <w:rFonts w:hint="eastAsia"/>
                <w:sz w:val="21"/>
                <w:szCs w:val="21"/>
              </w:rPr>
              <w:t>核查项目：</w:t>
            </w:r>
          </w:p>
        </w:tc>
      </w:tr>
      <w:tr>
        <w:trPr>
          <w:cantSplit/>
          <w:trHeight w:val="703"/>
        </w:trPr>
        <w:tc>
          <w:tcPr>
            <w:tcW w:w="503" w:type="dxa"/>
            <w:vMerge/>
            <w:tcBorders>
              <w:top w:val="nil"/>
              <w:left w:val="single" w:sz="8" w:space="0" w:color="auto"/>
              <w:bottom w:val="single" w:sz="8" w:space="0" w:color="auto"/>
              <w:right w:val="single" w:sz="8" w:space="0" w:color="auto"/>
            </w:tcBorders>
            <w:vAlign w:val="center"/>
          </w:tcPr>
          <w:p/>
        </w:tc>
        <w:tc>
          <w:tcPr>
            <w:tcW w:w="8433" w:type="dxa"/>
            <w:gridSpan w:val="5"/>
            <w:tcBorders>
              <w:top w:val="nil"/>
              <w:left w:val="nil"/>
              <w:bottom w:val="single" w:sz="8" w:space="0" w:color="auto"/>
              <w:right w:val="single" w:sz="8" w:space="0" w:color="auto"/>
            </w:tcBorders>
            <w:tcMar>
              <w:left w:w="108" w:type="dxa"/>
              <w:right w:w="108" w:type="dxa"/>
            </w:tcMar>
          </w:tcPr>
          <w:p>
            <w:pPr>
              <w:pStyle w:val="46"/>
              <w:rPr>
                <w:sz w:val="21"/>
                <w:szCs w:val="21"/>
              </w:rPr>
            </w:pPr>
            <w:r>
              <w:rPr>
                <w:rFonts w:hint="eastAsia"/>
                <w:sz w:val="21"/>
                <w:szCs w:val="21"/>
              </w:rPr>
              <w:t>被核查人提供的资料：</w:t>
            </w:r>
          </w:p>
        </w:tc>
      </w:tr>
      <w:tr>
        <w:trPr>
          <w:cantSplit/>
          <w:trHeight w:val="1261"/>
        </w:trPr>
        <w:tc>
          <w:tcPr>
            <w:tcW w:w="503" w:type="dxa"/>
            <w:vMerge/>
            <w:tcBorders>
              <w:top w:val="nil"/>
              <w:left w:val="single" w:sz="8" w:space="0" w:color="auto"/>
              <w:bottom w:val="single" w:sz="8" w:space="0" w:color="auto"/>
              <w:right w:val="single" w:sz="8" w:space="0" w:color="auto"/>
            </w:tcBorders>
            <w:vAlign w:val="center"/>
          </w:tcPr>
          <w:p/>
        </w:tc>
        <w:tc>
          <w:tcPr>
            <w:tcW w:w="8433" w:type="dxa"/>
            <w:gridSpan w:val="5"/>
            <w:tcBorders>
              <w:top w:val="nil"/>
              <w:left w:val="nil"/>
              <w:bottom w:val="single" w:sz="8" w:space="0" w:color="auto"/>
              <w:right w:val="single" w:sz="8" w:space="0" w:color="auto"/>
            </w:tcBorders>
            <w:tcMar>
              <w:left w:w="108" w:type="dxa"/>
              <w:right w:w="108" w:type="dxa"/>
            </w:tcMar>
          </w:tcPr>
          <w:p>
            <w:pPr>
              <w:pStyle w:val="46"/>
              <w:rPr>
                <w:sz w:val="21"/>
                <w:szCs w:val="21"/>
              </w:rPr>
            </w:pPr>
            <w:r>
              <w:rPr>
                <w:rFonts w:hint="eastAsia"/>
                <w:sz w:val="21"/>
                <w:szCs w:val="21"/>
              </w:rPr>
              <w:t>核查内容：</w:t>
            </w:r>
          </w:p>
        </w:tc>
      </w:tr>
      <w:tr>
        <w:trPr>
          <w:cantSplit/>
          <w:trHeight w:val="2003"/>
        </w:trPr>
        <w:tc>
          <w:tcPr>
            <w:tcW w:w="503" w:type="dxa"/>
            <w:vMerge/>
            <w:tcBorders>
              <w:top w:val="nil"/>
              <w:left w:val="single" w:sz="8" w:space="0" w:color="auto"/>
              <w:bottom w:val="single" w:sz="8" w:space="0" w:color="auto"/>
              <w:right w:val="single" w:sz="8" w:space="0" w:color="auto"/>
            </w:tcBorders>
            <w:vAlign w:val="center"/>
          </w:tcPr>
          <w:p/>
        </w:tc>
        <w:tc>
          <w:tcPr>
            <w:tcW w:w="3803" w:type="dxa"/>
            <w:gridSpan w:val="2"/>
            <w:tcBorders>
              <w:top w:val="nil"/>
              <w:left w:val="nil"/>
              <w:bottom w:val="single" w:sz="8" w:space="0" w:color="auto"/>
              <w:right w:val="single" w:sz="8" w:space="0" w:color="auto"/>
            </w:tcBorders>
            <w:tcMar>
              <w:left w:w="108" w:type="dxa"/>
              <w:right w:w="108" w:type="dxa"/>
            </w:tcMar>
          </w:tcPr>
          <w:p>
            <w:pPr>
              <w:pStyle w:val="46"/>
              <w:spacing w:line="400" w:lineRule="exact"/>
              <w:rPr>
                <w:sz w:val="21"/>
                <w:szCs w:val="21"/>
              </w:rPr>
            </w:pPr>
            <w:r>
              <w:rPr>
                <w:rFonts w:hint="eastAsia"/>
                <w:sz w:val="21"/>
                <w:szCs w:val="21"/>
              </w:rPr>
              <w:t>核查关员签名：</w:t>
            </w:r>
          </w:p>
          <w:p>
            <w:pPr>
              <w:pStyle w:val="46"/>
              <w:spacing w:line="400" w:lineRule="exact"/>
              <w:rPr>
                <w:sz w:val="21"/>
                <w:szCs w:val="21"/>
              </w:rPr>
            </w:pPr>
            <w:r>
              <w:rPr>
                <w:sz w:val="21"/>
                <w:szCs w:val="21"/>
              </w:rPr>
              <w:t>                </w:t>
            </w:r>
          </w:p>
          <w:p>
            <w:pPr>
              <w:pStyle w:val="46"/>
              <w:spacing w:line="400" w:lineRule="exact"/>
              <w:rPr>
                <w:sz w:val="21"/>
                <w:szCs w:val="21"/>
              </w:rPr>
            </w:pPr>
          </w:p>
          <w:p>
            <w:pPr>
              <w:pStyle w:val="46"/>
              <w:spacing w:line="400" w:lineRule="exact"/>
              <w:rPr>
                <w:sz w:val="21"/>
                <w:szCs w:val="21"/>
              </w:rPr>
            </w:pPr>
          </w:p>
          <w:p>
            <w:pPr>
              <w:pStyle w:val="46"/>
              <w:spacing w:line="400" w:lineRule="exact"/>
              <w:ind w:firstLineChars="1000" w:firstLine="2100"/>
              <w:rPr>
                <w:sz w:val="21"/>
                <w:szCs w:val="21"/>
              </w:rPr>
            </w:pPr>
            <w:r>
              <w:rPr>
                <w:sz w:val="21"/>
                <w:szCs w:val="21"/>
              </w:rPr>
              <w:t xml:space="preserve">  </w:t>
            </w:r>
            <w:r>
              <w:rPr>
                <w:rFonts w:hint="eastAsia"/>
                <w:sz w:val="21"/>
                <w:szCs w:val="21"/>
              </w:rPr>
              <w:t>年</w:t>
            </w:r>
            <w:r>
              <w:rPr>
                <w:sz w:val="21"/>
                <w:szCs w:val="21"/>
              </w:rPr>
              <w:t xml:space="preserve">    </w:t>
            </w:r>
            <w:r>
              <w:rPr>
                <w:rFonts w:hint="eastAsia"/>
                <w:sz w:val="21"/>
                <w:szCs w:val="21"/>
              </w:rPr>
              <w:t>月</w:t>
            </w:r>
            <w:r>
              <w:rPr>
                <w:sz w:val="21"/>
                <w:szCs w:val="21"/>
              </w:rPr>
              <w:t xml:space="preserve">    </w:t>
            </w:r>
            <w:r>
              <w:rPr>
                <w:rFonts w:hint="eastAsia"/>
                <w:sz w:val="21"/>
                <w:szCs w:val="21"/>
              </w:rPr>
              <w:t>日</w:t>
            </w:r>
          </w:p>
        </w:tc>
        <w:tc>
          <w:tcPr>
            <w:tcW w:w="4630" w:type="dxa"/>
            <w:gridSpan w:val="3"/>
            <w:tcBorders>
              <w:top w:val="nil"/>
              <w:left w:val="nil"/>
              <w:bottom w:val="single" w:sz="8" w:space="0" w:color="auto"/>
              <w:right w:val="single" w:sz="8" w:space="0" w:color="auto"/>
            </w:tcBorders>
            <w:tcMar>
              <w:left w:w="108" w:type="dxa"/>
              <w:right w:w="108" w:type="dxa"/>
            </w:tcMar>
          </w:tcPr>
          <w:p>
            <w:pPr>
              <w:pStyle w:val="46"/>
              <w:spacing w:line="400" w:lineRule="exact"/>
              <w:rPr>
                <w:sz w:val="21"/>
                <w:szCs w:val="21"/>
              </w:rPr>
            </w:pPr>
            <w:r>
              <w:rPr>
                <w:rFonts w:hint="eastAsia"/>
                <w:sz w:val="21"/>
                <w:szCs w:val="21"/>
              </w:rPr>
              <w:t>被核查人签章：</w:t>
            </w:r>
          </w:p>
          <w:p>
            <w:pPr>
              <w:pStyle w:val="46"/>
              <w:spacing w:line="400" w:lineRule="exact"/>
              <w:rPr>
                <w:sz w:val="21"/>
                <w:szCs w:val="21"/>
              </w:rPr>
            </w:pPr>
            <w:r>
              <w:rPr>
                <w:sz w:val="21"/>
                <w:szCs w:val="21"/>
              </w:rPr>
              <w:t xml:space="preserve">      </w:t>
            </w:r>
            <w:r>
              <w:rPr>
                <w:rFonts w:hint="eastAsia"/>
                <w:sz w:val="21"/>
                <w:szCs w:val="21"/>
              </w:rPr>
              <w:t>本企业保证所提供的资料准确无讹，愿意为之承担法律责任。</w:t>
            </w:r>
          </w:p>
          <w:p>
            <w:pPr>
              <w:pStyle w:val="46"/>
              <w:spacing w:line="400" w:lineRule="exact"/>
              <w:ind w:firstLineChars="971" w:firstLine="2039"/>
              <w:rPr>
                <w:sz w:val="21"/>
                <w:szCs w:val="21"/>
              </w:rPr>
            </w:pPr>
            <w:r>
              <w:rPr>
                <w:rFonts w:hint="eastAsia"/>
                <w:sz w:val="21"/>
                <w:szCs w:val="21"/>
              </w:rPr>
              <w:t>（被核查人代表签章）</w:t>
            </w:r>
          </w:p>
          <w:p>
            <w:pPr>
              <w:pStyle w:val="46"/>
              <w:spacing w:line="400" w:lineRule="exact"/>
              <w:rPr>
                <w:sz w:val="21"/>
                <w:szCs w:val="21"/>
              </w:rPr>
            </w:pPr>
            <w:r>
              <w:rPr>
                <w:sz w:val="21"/>
                <w:szCs w:val="21"/>
              </w:rPr>
              <w:t>                                    </w:t>
            </w:r>
            <w:r>
              <w:rPr>
                <w:rFonts w:hint="eastAsia"/>
                <w:sz w:val="21"/>
                <w:szCs w:val="21"/>
              </w:rPr>
              <w:t>年</w:t>
            </w:r>
            <w:r>
              <w:rPr>
                <w:sz w:val="21"/>
                <w:szCs w:val="21"/>
              </w:rPr>
              <w:t xml:space="preserve">    </w:t>
            </w:r>
            <w:r>
              <w:rPr>
                <w:rFonts w:hint="eastAsia"/>
                <w:sz w:val="21"/>
                <w:szCs w:val="21"/>
              </w:rPr>
              <w:t>月</w:t>
            </w:r>
            <w:r>
              <w:rPr>
                <w:sz w:val="21"/>
                <w:szCs w:val="21"/>
              </w:rPr>
              <w:t xml:space="preserve">    </w:t>
            </w:r>
            <w:r>
              <w:rPr>
                <w:rFonts w:hint="eastAsia"/>
                <w:sz w:val="21"/>
                <w:szCs w:val="21"/>
              </w:rPr>
              <w:t>日</w:t>
            </w:r>
          </w:p>
        </w:tc>
      </w:tr>
      <w:tr>
        <w:trPr>
          <w:trHeight w:val="847"/>
        </w:trPr>
        <w:tc>
          <w:tcPr>
            <w:tcW w:w="503" w:type="dxa"/>
            <w:tcBorders>
              <w:top w:val="nil"/>
              <w:left w:val="single" w:sz="8" w:space="0" w:color="auto"/>
              <w:bottom w:val="single" w:sz="8" w:space="0" w:color="auto"/>
              <w:right w:val="single" w:sz="8" w:space="0" w:color="auto"/>
            </w:tcBorders>
            <w:tcMar>
              <w:left w:w="108" w:type="dxa"/>
              <w:right w:w="108" w:type="dxa"/>
            </w:tcMar>
            <w:vAlign w:val="center"/>
          </w:tcPr>
          <w:p>
            <w:pPr>
              <w:pStyle w:val="46"/>
              <w:rPr>
                <w:sz w:val="21"/>
                <w:szCs w:val="21"/>
              </w:rPr>
            </w:pPr>
            <w:r>
              <w:rPr>
                <w:rFonts w:hint="eastAsia"/>
                <w:sz w:val="21"/>
                <w:szCs w:val="21"/>
              </w:rPr>
              <w:t>备</w:t>
            </w:r>
          </w:p>
          <w:p>
            <w:pPr>
              <w:pStyle w:val="46"/>
              <w:rPr>
                <w:sz w:val="21"/>
                <w:szCs w:val="21"/>
              </w:rPr>
            </w:pPr>
            <w:r>
              <w:rPr>
                <w:rFonts w:hint="eastAsia"/>
                <w:sz w:val="21"/>
                <w:szCs w:val="21"/>
              </w:rPr>
              <w:t>注</w:t>
            </w:r>
          </w:p>
        </w:tc>
        <w:tc>
          <w:tcPr>
            <w:tcW w:w="8433" w:type="dxa"/>
            <w:gridSpan w:val="5"/>
            <w:tcBorders>
              <w:top w:val="nil"/>
              <w:left w:val="nil"/>
              <w:bottom w:val="single" w:sz="8" w:space="0" w:color="auto"/>
              <w:right w:val="single" w:sz="8" w:space="0" w:color="auto"/>
            </w:tcBorders>
            <w:tcMar>
              <w:left w:w="108" w:type="dxa"/>
              <w:right w:w="108" w:type="dxa"/>
            </w:tcMar>
          </w:tcPr>
          <w:p>
            <w:pPr>
              <w:pStyle w:val="46"/>
              <w:rPr>
                <w:sz w:val="21"/>
                <w:szCs w:val="21"/>
              </w:rPr>
            </w:pPr>
            <w:r>
              <w:rPr>
                <w:sz w:val="21"/>
                <w:szCs w:val="21"/>
              </w:rPr>
              <w:t> </w:t>
            </w:r>
          </w:p>
        </w:tc>
      </w:tr>
    </w:tbl>
    <w:p>
      <w:pPr>
        <w:pStyle w:val="46"/>
        <w:spacing w:line="420" w:lineRule="exact"/>
        <w:rPr>
          <w:sz w:val="21"/>
          <w:szCs w:val="21"/>
        </w:rPr>
      </w:pPr>
      <w:r>
        <w:rPr>
          <w:rFonts w:hint="eastAsia"/>
          <w:sz w:val="21"/>
          <w:szCs w:val="21"/>
        </w:rPr>
        <w:t xml:space="preserve">   </w:t>
      </w:r>
      <w:r>
        <w:rPr>
          <w:sz w:val="21"/>
          <w:szCs w:val="21"/>
        </w:rPr>
        <w:t>注：本记录一式三份，海关留存两份，被核查人留存一份。</w:t>
      </w:r>
    </w:p>
    <w:p>
      <w:pPr>
        <w:pStyle w:val="47"/>
        <w:snapToGrid w:val="0"/>
        <w:spacing w:line="420" w:lineRule="exact"/>
        <w:ind w:firstLine="555"/>
        <w:rPr>
          <w:sz w:val="21"/>
          <w:szCs w:val="21"/>
          <w:lang w:eastAsia="zh-CN"/>
        </w:rPr>
      </w:pPr>
    </w:p>
    <w:p>
      <w:pPr>
        <w:pStyle w:val="46"/>
        <w:widowControl/>
        <w:spacing w:line="600" w:lineRule="exact"/>
        <w:rPr>
          <w:rFonts w:ascii="宋体" w:cs="宋体" w:hAnsi="宋体"/>
          <w:kern w:val="0"/>
          <w:szCs w:val="32"/>
        </w:rPr>
      </w:pPr>
      <w:r>
        <w:rPr>
          <w:rFonts w:ascii="宋体" w:cs="宋体" w:hAnsi="宋体" w:hint="eastAsia"/>
          <w:kern w:val="0"/>
          <w:szCs w:val="32"/>
        </w:rPr>
        <w:t>填制说明：</w:t>
      </w:r>
    </w:p>
    <w:p>
      <w:pPr>
        <w:pStyle w:val="46"/>
        <w:widowControl/>
        <w:spacing w:line="600" w:lineRule="exact"/>
        <w:rPr>
          <w:rFonts w:ascii="宋体" w:cs="宋体" w:hAnsi="宋体"/>
          <w:kern w:val="0"/>
          <w:szCs w:val="32"/>
        </w:rPr>
      </w:pPr>
      <w:r>
        <w:rPr>
          <w:rFonts w:ascii="宋体" w:cs="宋体" w:hAnsi="宋体" w:hint="eastAsia"/>
          <w:kern w:val="0"/>
          <w:szCs w:val="32"/>
        </w:rPr>
        <w:t>1.核查时间：核查的起止日期。</w:t>
      </w:r>
    </w:p>
    <w:p>
      <w:pPr>
        <w:pStyle w:val="46"/>
        <w:widowControl/>
        <w:spacing w:line="600" w:lineRule="exact"/>
        <w:rPr>
          <w:rFonts w:ascii="宋体" w:cs="宋体" w:hAnsi="宋体"/>
          <w:kern w:val="0"/>
          <w:szCs w:val="32"/>
        </w:rPr>
      </w:pPr>
      <w:r>
        <w:rPr>
          <w:rFonts w:ascii="宋体" w:cs="宋体" w:hAnsi="宋体" w:hint="eastAsia"/>
          <w:kern w:val="0"/>
          <w:szCs w:val="32"/>
        </w:rPr>
        <w:t>2.核查地点：核查的具体地址。</w:t>
      </w:r>
    </w:p>
    <w:p>
      <w:pPr>
        <w:pStyle w:val="46"/>
        <w:widowControl/>
        <w:spacing w:line="600" w:lineRule="exact"/>
        <w:rPr>
          <w:rFonts w:ascii="宋体" w:cs="宋体" w:hAnsi="宋体"/>
          <w:kern w:val="0"/>
          <w:szCs w:val="32"/>
        </w:rPr>
      </w:pPr>
      <w:r>
        <w:rPr>
          <w:rFonts w:ascii="宋体" w:cs="宋体" w:hAnsi="宋体" w:hint="eastAsia"/>
          <w:kern w:val="0"/>
          <w:szCs w:val="32"/>
        </w:rPr>
        <w:t>3.核查项目：核查的主要目标或者原因。</w:t>
      </w:r>
    </w:p>
    <w:p>
      <w:pPr>
        <w:pStyle w:val="46"/>
        <w:widowControl/>
        <w:spacing w:line="600" w:lineRule="exact"/>
        <w:rPr>
          <w:rFonts w:ascii="宋体" w:cs="宋体" w:hAnsi="宋体"/>
          <w:kern w:val="0"/>
          <w:szCs w:val="32"/>
        </w:rPr>
      </w:pPr>
      <w:r>
        <w:rPr>
          <w:rFonts w:ascii="宋体" w:cs="宋体" w:hAnsi="宋体" w:hint="eastAsia"/>
          <w:kern w:val="0"/>
          <w:szCs w:val="32"/>
        </w:rPr>
        <w:t>4.被核查人提供的资料：被核查人提供的数据、报表、账簿、单证等资料的名称和数量（包括电子资料）。</w:t>
      </w:r>
    </w:p>
    <w:p>
      <w:pPr>
        <w:pStyle w:val="46"/>
        <w:widowControl/>
        <w:spacing w:line="600" w:lineRule="exact"/>
        <w:rPr>
          <w:rFonts w:ascii="宋体" w:cs="宋体" w:hAnsi="宋体"/>
          <w:kern w:val="0"/>
          <w:szCs w:val="32"/>
        </w:rPr>
      </w:pPr>
      <w:r>
        <w:rPr>
          <w:rFonts w:ascii="宋体" w:cs="宋体" w:hAnsi="宋体" w:hint="eastAsia"/>
          <w:kern w:val="0"/>
          <w:szCs w:val="32"/>
        </w:rPr>
        <w:t>5.核查内容：核查的过程、核查的内容等情况。</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仿宋简体">
    <w:altName w:val="Arial Unicode MS"/>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character" w:default="1" w:styleId="10">
    <w:name w:val="Default Paragraph Font"/>
  </w:style>
  <w:style w:type="paragraph" w:styleId="15">
    <w:name w:val="annotation text"/>
    <w:basedOn w:val="0"/>
    <w:pPr>
      <w:jc w:val="left"/>
    </w:pPr>
  </w:style>
  <w:style w:type="character" w:styleId="16">
    <w:name w:val="Hyperlink"/>
    <w:rPr>
      <w:color w:val="0000FF"/>
      <w:u w:val="single"/>
    </w:rPr>
  </w:style>
  <w:style w:type="character" w:customStyle="1" w:styleId="17">
    <w:name w:val="h-control-text-title1"/>
    <w:rPr>
      <w:rFonts w:ascii="宋体" w:eastAsia="宋体"/>
      <w:b/>
      <w:bCs/>
      <w:sz w:val="24"/>
      <w:szCs w:val="24"/>
      <w:bdr w:val="none" w:sz="0" w:space="0" w:color="auto"/>
      <w:shd w:val="clear" w:color="auto" w:fill="F5F5F5"/>
    </w:rPr>
  </w:style>
  <w:style w:type="paragraph" w:styleId="18">
    <w:name w:val="index 5"/>
    <w:basedOn w:val="0"/>
    <w:autoRedefine/>
    <w:next w:val="0"/>
    <w:pPr>
      <w:ind w:left="1680"/>
    </w:pPr>
  </w:style>
  <w:style w:type="paragraph" w:styleId="19">
    <w:name w:val="index 7"/>
    <w:basedOn w:val="0"/>
    <w:autoRedefine/>
    <w:next w:val="0"/>
    <w:pPr>
      <w:ind w:left="2520"/>
    </w:pPr>
  </w:style>
  <w:style w:type="paragraph" w:styleId="20">
    <w:name w:val="index 9"/>
    <w:basedOn w:val="0"/>
    <w:autoRedefine/>
    <w:next w:val="0"/>
    <w:pPr>
      <w:ind w:left="3360"/>
    </w:pPr>
  </w:style>
  <w:style w:type="paragraph" w:styleId="21">
    <w:name w:val="toc 1"/>
    <w:basedOn w:val="0"/>
    <w:autoRedefine/>
    <w:next w:val="0"/>
  </w:style>
  <w:style w:type="paragraph" w:styleId="22">
    <w:name w:val="toc 2"/>
    <w:basedOn w:val="0"/>
    <w:autoRedefine/>
    <w:next w:val="0"/>
    <w:pPr>
      <w:ind w:left="420"/>
    </w:pPr>
  </w:style>
  <w:style w:type="character" w:styleId="23">
    <w:name w:val="FollowedHyperlink"/>
    <w:rPr>
      <w:color w:val="800080"/>
      <w:u w:val="single"/>
    </w:rPr>
  </w:style>
  <w:style w:type="paragraph" w:customStyle="1" w:styleId="24">
    <w:name w:val="样式 158 10 磅"/>
    <w:next w:val="18"/>
    <w:pPr>
      <w:widowControl w:val="0"/>
      <w:jc w:val="both"/>
    </w:pPr>
    <w:rPr>
      <w:rFonts w:ascii="Times New Roman" w:eastAsia="宋体" w:cs="Times New Roman" w:hAnsi="Times New Roman"/>
      <w:kern w:val="2"/>
      <w:sz w:val="21"/>
      <w:szCs w:val="21"/>
      <w:lang w:val="en-US" w:eastAsia="zh-CN" w:bidi="ar-SA"/>
    </w:rPr>
  </w:style>
  <w:style w:type="paragraph" w:customStyle="1" w:styleId="25">
    <w:name w:val="样式 10 磅"/>
    <w:pPr>
      <w:widowControl w:val="0"/>
      <w:jc w:val="both"/>
    </w:pPr>
    <w:rPr>
      <w:rFonts w:ascii="Times New Roman" w:eastAsia="宋体" w:cs="Times New Roman" w:hAnsi="Times New Roman"/>
      <w:kern w:val="2"/>
      <w:sz w:val="21"/>
      <w:szCs w:val="24"/>
      <w:lang w:val="en-US" w:eastAsia="zh-CN" w:bidi="ar-SA"/>
    </w:rPr>
  </w:style>
  <w:style w:type="paragraph" w:customStyle="1" w:styleId="26">
    <w:name w:val="样式 1 10 磅"/>
    <w:pPr>
      <w:widowControl w:val="0"/>
      <w:jc w:val="both"/>
    </w:pPr>
    <w:rPr>
      <w:rFonts w:ascii="Times New Roman" w:eastAsia="宋体" w:cs="Times New Roman" w:hAnsi="Times New Roman"/>
      <w:kern w:val="2"/>
      <w:sz w:val="21"/>
      <w:szCs w:val="24"/>
      <w:lang w:val="en-US" w:eastAsia="zh-CN" w:bidi="ar-SA"/>
    </w:rPr>
  </w:style>
  <w:style w:type="paragraph" w:customStyle="1" w:styleId="27">
    <w:name w:val="样式 2 10 磅"/>
    <w:pPr>
      <w:widowControl w:val="0"/>
      <w:jc w:val="both"/>
    </w:pPr>
    <w:rPr>
      <w:rFonts w:ascii="Times New Roman" w:eastAsia="宋体" w:cs="Times New Roman" w:hAnsi="Times New Roman"/>
      <w:kern w:val="2"/>
      <w:sz w:val="21"/>
      <w:szCs w:val="24"/>
      <w:lang w:val="en-US" w:eastAsia="zh-CN" w:bidi="ar-SA"/>
    </w:rPr>
  </w:style>
  <w:style w:type="paragraph" w:customStyle="1" w:styleId="28">
    <w:name w:val="样式 3 10 磅"/>
    <w:pPr>
      <w:widowControl w:val="0"/>
      <w:jc w:val="both"/>
    </w:pPr>
    <w:rPr>
      <w:rFonts w:ascii="Times New Roman" w:eastAsia="宋体" w:cs="Times New Roman" w:hAnsi="Times New Roman"/>
      <w:kern w:val="2"/>
      <w:sz w:val="21"/>
      <w:szCs w:val="24"/>
      <w:lang w:val="en-US" w:eastAsia="zh-CN" w:bidi="ar-SA"/>
    </w:rPr>
  </w:style>
  <w:style w:type="paragraph" w:customStyle="1" w:styleId="29">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30">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31">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32">
    <w:name w:val="样式 7 10 磅"/>
    <w:pPr>
      <w:widowControl w:val="0"/>
      <w:jc w:val="both"/>
    </w:pPr>
    <w:rPr>
      <w:rFonts w:ascii="Times New Roman" w:eastAsia="宋体" w:cs="Times New Roman" w:hAnsi="Times New Roman"/>
      <w:kern w:val="2"/>
      <w:sz w:val="21"/>
      <w:szCs w:val="24"/>
      <w:lang w:val="en-US" w:eastAsia="zh-CN" w:bidi="ar-SA"/>
    </w:rPr>
  </w:style>
  <w:style w:type="paragraph" w:customStyle="1" w:styleId="33">
    <w:name w:val="样式 8 10 磅"/>
    <w:pPr>
      <w:widowControl w:val="0"/>
      <w:jc w:val="both"/>
    </w:pPr>
    <w:rPr>
      <w:rFonts w:ascii="Times New Roman" w:eastAsia="宋体" w:cs="Times New Roman" w:hAnsi="Times New Roman"/>
      <w:kern w:val="2"/>
      <w:sz w:val="21"/>
      <w:szCs w:val="24"/>
      <w:lang w:val="en-US" w:eastAsia="zh-CN" w:bidi="ar-SA"/>
    </w:rPr>
  </w:style>
  <w:style w:type="paragraph" w:customStyle="1" w:styleId="34">
    <w:name w:val="样式 9 10 磅"/>
    <w:pPr>
      <w:widowControl w:val="0"/>
      <w:jc w:val="both"/>
    </w:pPr>
    <w:rPr>
      <w:rFonts w:ascii="Times New Roman" w:eastAsia="宋体" w:cs="Times New Roman" w:hAnsi="Times New Roman"/>
      <w:kern w:val="2"/>
      <w:sz w:val="21"/>
      <w:szCs w:val="24"/>
      <w:lang w:val="en-US" w:eastAsia="zh-CN" w:bidi="ar-SA"/>
    </w:rPr>
  </w:style>
  <w:style w:type="paragraph" w:customStyle="1" w:styleId="35">
    <w:name w:val="样式 10 10 磅"/>
    <w:pPr>
      <w:widowControl w:val="0"/>
      <w:jc w:val="both"/>
    </w:pPr>
    <w:rPr>
      <w:rFonts w:ascii="Times New Roman" w:eastAsia="宋体" w:cs="Times New Roman" w:hAnsi="Times New Roman"/>
      <w:kern w:val="2"/>
      <w:sz w:val="21"/>
      <w:szCs w:val="24"/>
      <w:lang w:val="en-US" w:eastAsia="zh-CN" w:bidi="ar-SA"/>
    </w:rPr>
  </w:style>
  <w:style w:type="paragraph" w:customStyle="1" w:styleId="36">
    <w:name w:val="样式 11 10 磅"/>
    <w:pPr>
      <w:widowControl w:val="0"/>
      <w:jc w:val="both"/>
    </w:pPr>
    <w:rPr>
      <w:rFonts w:ascii="Times New Roman" w:eastAsia="宋体" w:cs="Times New Roman" w:hAnsi="Times New Roman"/>
      <w:kern w:val="2"/>
      <w:sz w:val="21"/>
      <w:szCs w:val="24"/>
      <w:lang w:val="en-US" w:eastAsia="zh-CN" w:bidi="ar-SA"/>
    </w:rPr>
  </w:style>
  <w:style w:type="paragraph" w:customStyle="1" w:styleId="37">
    <w:name w:val="样式 12 10 磅"/>
    <w:next w:val="112"/>
    <w:pPr>
      <w:widowControl w:val="0"/>
      <w:jc w:val="both"/>
    </w:pPr>
    <w:rPr>
      <w:rFonts w:ascii="Times New Roman" w:eastAsia="宋体" w:cs="Times New Roman" w:hAnsi="Times New Roman"/>
      <w:kern w:val="2"/>
      <w:sz w:val="21"/>
      <w:szCs w:val="21"/>
      <w:lang w:val="en-US" w:eastAsia="zh-CN" w:bidi="ar-SA"/>
    </w:rPr>
  </w:style>
  <w:style w:type="paragraph" w:customStyle="1" w:styleId="38">
    <w:name w:val="样式 13 10 磅"/>
    <w:pPr>
      <w:widowControl w:val="0"/>
      <w:jc w:val="both"/>
    </w:pPr>
    <w:rPr>
      <w:rFonts w:ascii="Times New Roman" w:eastAsia="宋体" w:cs="Times New Roman" w:hAnsi="Times New Roman"/>
      <w:kern w:val="2"/>
      <w:sz w:val="21"/>
      <w:szCs w:val="24"/>
      <w:lang w:val="en-US" w:eastAsia="zh-CN" w:bidi="ar-SA"/>
    </w:rPr>
  </w:style>
  <w:style w:type="paragraph" w:customStyle="1" w:styleId="39">
    <w:name w:val="样式 14 10 磅"/>
    <w:pPr>
      <w:widowControl w:val="0"/>
      <w:jc w:val="both"/>
    </w:pPr>
    <w:rPr>
      <w:rFonts w:ascii="Times New Roman" w:eastAsia="宋体" w:cs="Times New Roman" w:hAnsi="Times New Roman"/>
      <w:kern w:val="2"/>
      <w:sz w:val="21"/>
      <w:szCs w:val="24"/>
      <w:lang w:val="en-US" w:eastAsia="zh-CN" w:bidi="ar-SA"/>
    </w:rPr>
  </w:style>
  <w:style w:type="paragraph" w:customStyle="1" w:styleId="40">
    <w:name w:val="样式 15 10 磅"/>
    <w:pPr>
      <w:widowControl w:val="0"/>
      <w:jc w:val="both"/>
    </w:pPr>
    <w:rPr>
      <w:rFonts w:ascii="Times New Roman" w:eastAsia="宋体" w:cs="Times New Roman" w:hAnsi="Times New Roman"/>
      <w:kern w:val="2"/>
      <w:sz w:val="21"/>
      <w:szCs w:val="24"/>
      <w:lang w:val="en-US" w:eastAsia="zh-CN" w:bidi="ar-SA"/>
    </w:rPr>
  </w:style>
  <w:style w:type="paragraph" w:customStyle="1" w:styleId="41">
    <w:name w:val="样式 16 10 磅"/>
    <w:pPr>
      <w:jc w:val="both"/>
    </w:pPr>
    <w:rPr>
      <w:rFonts w:ascii="Times New Roman" w:eastAsia="宋体" w:cs="Times New Roman" w:hAnsi="Times New Roman"/>
      <w:sz w:val="21"/>
      <w:szCs w:val="21"/>
      <w:lang w:val="en-US" w:eastAsia="zh-CN" w:bidi="ar-SA"/>
    </w:rPr>
  </w:style>
  <w:style w:type="paragraph" w:customStyle="1" w:styleId="42">
    <w:name w:val="样式 17 10 磅"/>
    <w:pPr>
      <w:widowControl w:val="0"/>
      <w:jc w:val="both"/>
    </w:pPr>
    <w:rPr>
      <w:rFonts w:ascii="Times New Roman" w:eastAsia="宋体" w:cs="Times New Roman" w:hAnsi="Times New Roman"/>
      <w:kern w:val="2"/>
      <w:sz w:val="21"/>
      <w:szCs w:val="24"/>
      <w:lang w:val="en-US" w:eastAsia="zh-CN" w:bidi="ar-SA"/>
    </w:rPr>
  </w:style>
  <w:style w:type="paragraph" w:customStyle="1" w:styleId="43">
    <w:name w:val="样式 18 10 磅"/>
    <w:pPr>
      <w:widowControl w:val="0"/>
      <w:jc w:val="both"/>
    </w:pPr>
    <w:rPr>
      <w:rFonts w:ascii="Times New Roman" w:eastAsia="宋体" w:cs="Times New Roman" w:hAnsi="Times New Roman"/>
      <w:kern w:val="2"/>
      <w:sz w:val="21"/>
      <w:szCs w:val="24"/>
      <w:lang w:val="en-US" w:eastAsia="zh-CN" w:bidi="ar-SA"/>
    </w:rPr>
  </w:style>
  <w:style w:type="paragraph" w:customStyle="1" w:styleId="44">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45">
    <w:name w:val="样式 20 10 磅"/>
    <w:pPr>
      <w:widowControl w:val="0"/>
      <w:jc w:val="both"/>
    </w:pPr>
    <w:rPr>
      <w:rFonts w:ascii="Times New Roman" w:eastAsia="宋体" w:cs="Times New Roman" w:hAnsi="Times New Roman"/>
      <w:kern w:val="2"/>
      <w:sz w:val="21"/>
      <w:szCs w:val="24"/>
      <w:lang w:val="en-US" w:eastAsia="zh-CN" w:bidi="ar-SA"/>
    </w:rPr>
  </w:style>
  <w:style w:type="paragraph" w:customStyle="1" w:styleId="46">
    <w:name w:val="样式 三号"/>
    <w:pPr>
      <w:widowControl w:val="0"/>
      <w:jc w:val="both"/>
    </w:pPr>
    <w:rPr>
      <w:rFonts w:ascii="Times New Roman" w:eastAsia="方正仿宋_GBK" w:cs="Times New Roman" w:hAnsi="Times New Roman"/>
      <w:kern w:val="2"/>
      <w:sz w:val="32"/>
      <w:lang w:val="en-US" w:eastAsia="zh-CN" w:bidi="ar-SA"/>
    </w:rPr>
  </w:style>
  <w:style w:type="paragraph" w:customStyle="1" w:styleId="47">
    <w:name w:val="样式 1 小四"/>
    <w:rPr>
      <w:rFonts w:ascii="Times New Roman" w:eastAsia="宋体" w:cs="Times New Roman" w:hAnsi="Times New Roman"/>
      <w:sz w:val="24"/>
      <w:szCs w:val="24"/>
      <w:lang w:val="en-US" w:eastAsia="en-US" w:bidi="ar-SA"/>
    </w:rPr>
  </w:style>
  <w:style w:type="paragraph" w:customStyle="1" w:styleId="48">
    <w:name w:val="样式 小四"/>
    <w:pPr>
      <w:widowControl w:val="0"/>
    </w:pPr>
    <w:rPr>
      <w:rFonts w:ascii="宋体" w:eastAsia="宋体" w:cs="Times New Roman"/>
      <w:kern w:val="2"/>
      <w:sz w:val="24"/>
      <w:lang w:val="en-US" w:eastAsia="zh-CN" w:bidi="ar-SA"/>
    </w:rPr>
  </w:style>
  <w:style w:type="paragraph" w:styleId="49">
    <w:name w:val="header"/>
    <w:basedOn w:val="0"/>
    <w:pPr>
      <w:pBdr>
        <w:bottom w:val="single" w:sz="6" w:space="1" w:color="auto"/>
      </w:pBdr>
      <w:tabs>
        <w:tab w:val="center" w:pos="4153"/>
        <w:tab w:val="right" w:pos="8306"/>
      </w:tabs>
      <w:snapToGrid w:val="0"/>
      <w:jc w:val="center"/>
    </w:pPr>
    <w:rPr>
      <w:sz w:val="18"/>
      <w:szCs w:val="18"/>
    </w:rPr>
  </w:style>
  <w:style w:type="paragraph" w:styleId="50">
    <w:name w:val="footer"/>
    <w:basedOn w:val="0"/>
    <w:pPr>
      <w:tabs>
        <w:tab w:val="center" w:pos="4153"/>
        <w:tab w:val="right" w:pos="8306"/>
      </w:tabs>
      <w:snapToGrid w:val="0"/>
      <w:jc w:val="left"/>
    </w:pPr>
    <w:rPr>
      <w:sz w:val="18"/>
      <w:szCs w:val="18"/>
    </w:rPr>
  </w:style>
  <w:style w:type="paragraph" w:styleId="51">
    <w:name w:val="Document Map"/>
    <w:basedOn w:val="0"/>
    <w:rPr>
      <w:rFonts w:ascii="宋体"/>
      <w:sz w:val="18"/>
      <w:szCs w:val="18"/>
    </w:rPr>
  </w:style>
  <w:style w:type="paragraph" w:customStyle="1" w:styleId="149">
    <w:name w:val="样式 21 10 磅"/>
    <w:pPr>
      <w:widowControl w:val="0"/>
      <w:jc w:val="both"/>
    </w:pPr>
    <w:rPr>
      <w:rFonts w:ascii="Calibri" w:eastAsia="宋体" w:cs="Times New Roman" w:hAnsi="Calibri"/>
      <w:kern w:val="2"/>
      <w:sz w:val="21"/>
      <w:szCs w:val="24"/>
      <w:lang w:val="en-US" w:eastAsia="zh-CN" w:bidi="ar-SA"/>
    </w:rPr>
  </w:style>
  <w:style w:type="paragraph" w:customStyle="1" w:styleId="150">
    <w:name w:val="样式 22 10 磅"/>
    <w:pPr>
      <w:widowControl w:val="0"/>
      <w:jc w:val="both"/>
    </w:pPr>
    <w:rPr>
      <w:rFonts w:ascii="Calibri" w:eastAsia="宋体" w:cs="Times New Roman" w:hAnsi="Calibri"/>
      <w:kern w:val="2"/>
      <w:sz w:val="21"/>
      <w:szCs w:val="24"/>
      <w:lang w:val="en-US" w:eastAsia="zh-CN" w:bidi="ar-SA"/>
    </w:rPr>
  </w:style>
  <w:style w:type="paragraph" w:customStyle="1" w:styleId="151">
    <w:name w:val="样式 23 10 磅"/>
    <w:pPr>
      <w:widowControl w:val="0"/>
      <w:jc w:val="both"/>
    </w:pPr>
    <w:rPr>
      <w:rFonts w:ascii="Calibri" w:eastAsia="宋体" w:cs="Times New Roman" w:hAnsi="Calibri"/>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oleObject" Target="embeddings/oleObject1.bin"/><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17</TotalTime>
  <Application>Yozo_Office</Application>
  <Pages>9</Pages>
  <Words>2544</Words>
  <Characters>2666</Characters>
  <Lines>199</Lines>
  <Paragraphs>106</Paragraphs>
  <CharactersWithSpaces>2850</CharactersWithSpaces>
  <Company>CGAC</Company>
</Properties>
</file>

<file path=docProps/core.xml><?xml version="1.0" encoding="utf-8"?>
<cp:coreProperties xmlns:cp="http://schemas.openxmlformats.org/package/2006/metadata/core-properties" xmlns:dc="http://purl.org/dc/elements/1.1/" xmlns:dcterms="http://purl.org/dc/terms/" xmlns:xsi="http://www.w3.org/2001/XMLSchema-instance">
  <dc:creator>user</dc:creator>
  <cp:lastModifiedBy>石磊</cp:lastModifiedBy>
  <cp:revision>2</cp:revision>
  <dcterms:created xsi:type="dcterms:W3CDTF">2020-08-20T00:46:00Z</dcterms:created>
  <dcterms:modified xsi:type="dcterms:W3CDTF">2023-11-29T02:38:17Z</dcterms:modified>
</cp:coreProperties>
</file>